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09DF" w:rsidRDefault="005409DF" w:rsidP="005409DF">
      <w:pPr>
        <w:rPr>
          <w:b/>
          <w:sz w:val="24"/>
          <w:szCs w:val="24"/>
        </w:rPr>
      </w:pPr>
      <w:r>
        <w:rPr>
          <w:b/>
          <w:sz w:val="24"/>
          <w:szCs w:val="24"/>
        </w:rPr>
        <w:t>Ministerstvo financí</w:t>
      </w:r>
    </w:p>
    <w:p w:rsidR="005409DF" w:rsidRDefault="005409DF" w:rsidP="005409DF">
      <w:pPr>
        <w:rPr>
          <w:b/>
          <w:sz w:val="24"/>
          <w:szCs w:val="24"/>
        </w:rPr>
      </w:pPr>
      <w:r>
        <w:rPr>
          <w:b/>
          <w:sz w:val="24"/>
          <w:szCs w:val="24"/>
        </w:rPr>
        <w:t>Čj.: MF – 17534/2024/2104-4</w:t>
      </w:r>
    </w:p>
    <w:p w:rsidR="009778E2" w:rsidRPr="00003D57" w:rsidRDefault="009778E2" w:rsidP="009778E2">
      <w:pPr>
        <w:rPr>
          <w:b/>
          <w:sz w:val="24"/>
          <w:szCs w:val="24"/>
        </w:rPr>
      </w:pPr>
    </w:p>
    <w:p w:rsidR="009778E2" w:rsidRPr="00003D57" w:rsidRDefault="002A23FD" w:rsidP="009778E2">
      <w:pPr>
        <w:pStyle w:val="SRNadpisseituprozpat"/>
      </w:pPr>
      <w:r>
        <w:t>K.</w:t>
      </w:r>
    </w:p>
    <w:p w:rsidR="009778E2" w:rsidRPr="00B31CD9" w:rsidRDefault="002A23FD" w:rsidP="009778E2">
      <w:pPr>
        <w:pStyle w:val="SRNadpisseituprozpat"/>
        <w:suppressAutoHyphens/>
        <w:spacing w:before="1920"/>
      </w:pPr>
      <w:r w:rsidRPr="002A23FD">
        <w:t xml:space="preserve">Návrh střednědobého výhledu </w:t>
      </w:r>
      <w:r w:rsidR="00501E15">
        <w:t xml:space="preserve">státního rozpočtu </w:t>
      </w:r>
      <w:r w:rsidRPr="002A23FD">
        <w:t>na léta 2026 a 2027</w:t>
      </w:r>
    </w:p>
    <w:p w:rsidR="00E8085D" w:rsidRPr="00080131" w:rsidRDefault="00E8085D" w:rsidP="00E8085D"/>
    <w:p w:rsidR="00332D4D" w:rsidRPr="003B10C6" w:rsidRDefault="00332D4D" w:rsidP="00332D4D">
      <w:pPr>
        <w:spacing w:before="3480" w:after="0"/>
        <w:jc w:val="right"/>
        <w:rPr>
          <w:b/>
          <w:sz w:val="24"/>
        </w:rPr>
        <w:sectPr w:rsidR="00332D4D" w:rsidRPr="003B10C6" w:rsidSect="007A1923">
          <w:footerReference w:type="first" r:id="rId11"/>
          <w:pgSz w:w="11906" w:h="16838"/>
          <w:pgMar w:top="1134" w:right="1134" w:bottom="1134" w:left="1134" w:header="709" w:footer="709" w:gutter="0"/>
          <w:cols w:space="708"/>
          <w:titlePg/>
          <w:docGrid w:linePitch="360"/>
        </w:sectPr>
      </w:pPr>
    </w:p>
    <w:p w:rsidR="00332D4D" w:rsidRPr="003B10C6" w:rsidRDefault="00332D4D" w:rsidP="00332D4D">
      <w:pPr>
        <w:pStyle w:val="Nadpiszacatek"/>
      </w:pPr>
      <w:r w:rsidRPr="00703196">
        <w:lastRenderedPageBreak/>
        <w:t>Obsah</w:t>
      </w:r>
    </w:p>
    <w:tbl>
      <w:tblPr>
        <w:tblW w:w="9824" w:type="dxa"/>
        <w:tblLook w:val="01E0" w:firstRow="1" w:lastRow="1" w:firstColumn="1" w:lastColumn="1" w:noHBand="0" w:noVBand="0"/>
      </w:tblPr>
      <w:tblGrid>
        <w:gridCol w:w="9824"/>
      </w:tblGrid>
      <w:tr w:rsidR="00332D4D" w:rsidRPr="003B10C6" w:rsidTr="00AB13CE">
        <w:trPr>
          <w:trHeight w:val="4588"/>
        </w:trPr>
        <w:tc>
          <w:tcPr>
            <w:tcW w:w="9824" w:type="dxa"/>
            <w:shd w:val="clear" w:color="auto" w:fill="auto"/>
          </w:tcPr>
          <w:p w:rsidR="00010FD9" w:rsidRDefault="00332D4D">
            <w:pPr>
              <w:pStyle w:val="Obsah1"/>
              <w:rPr>
                <w:rFonts w:asciiTheme="minorHAnsi" w:eastAsiaTheme="minorEastAsia" w:hAnsiTheme="minorHAnsi" w:cstheme="minorBidi"/>
                <w:b w:val="0"/>
                <w:sz w:val="22"/>
                <w:szCs w:val="22"/>
                <w:lang w:val="en-US" w:eastAsia="en-US"/>
              </w:rPr>
            </w:pPr>
            <w:r w:rsidRPr="003B10C6">
              <w:fldChar w:fldCharType="begin"/>
            </w:r>
            <w:r w:rsidRPr="003B10C6">
              <w:instrText xml:space="preserve"> TOC \o "1-2" \h \z \u </w:instrText>
            </w:r>
            <w:r w:rsidRPr="003B10C6">
              <w:fldChar w:fldCharType="separate"/>
            </w:r>
            <w:hyperlink w:anchor="_Toc175914406" w:history="1">
              <w:r w:rsidR="00010FD9" w:rsidRPr="002B6C1C">
                <w:rPr>
                  <w:rStyle w:val="Hypertextovodkaz"/>
                </w:rPr>
                <w:t>1</w:t>
              </w:r>
              <w:r w:rsidR="00010FD9">
                <w:rPr>
                  <w:rFonts w:asciiTheme="minorHAnsi" w:eastAsiaTheme="minorEastAsia" w:hAnsiTheme="minorHAnsi" w:cstheme="minorBidi"/>
                  <w:b w:val="0"/>
                  <w:sz w:val="22"/>
                  <w:szCs w:val="22"/>
                  <w:lang w:val="en-US" w:eastAsia="en-US"/>
                </w:rPr>
                <w:tab/>
              </w:r>
              <w:r w:rsidR="00010FD9" w:rsidRPr="002B6C1C">
                <w:rPr>
                  <w:rStyle w:val="Hypertextovodkaz"/>
                </w:rPr>
                <w:t>Úvod a shrnutí</w:t>
              </w:r>
              <w:r w:rsidR="00010FD9">
                <w:rPr>
                  <w:webHidden/>
                </w:rPr>
                <w:tab/>
              </w:r>
              <w:r w:rsidR="00010FD9">
                <w:rPr>
                  <w:webHidden/>
                </w:rPr>
                <w:fldChar w:fldCharType="begin"/>
              </w:r>
              <w:r w:rsidR="00010FD9">
                <w:rPr>
                  <w:webHidden/>
                </w:rPr>
                <w:instrText xml:space="preserve"> PAGEREF _Toc175914406 \h </w:instrText>
              </w:r>
              <w:r w:rsidR="00010FD9">
                <w:rPr>
                  <w:webHidden/>
                </w:rPr>
              </w:r>
              <w:r w:rsidR="00010FD9">
                <w:rPr>
                  <w:webHidden/>
                </w:rPr>
                <w:fldChar w:fldCharType="separate"/>
              </w:r>
              <w:r w:rsidR="00010FD9">
                <w:rPr>
                  <w:webHidden/>
                </w:rPr>
                <w:t>1</w:t>
              </w:r>
              <w:r w:rsidR="00010FD9">
                <w:rPr>
                  <w:webHidden/>
                </w:rPr>
                <w:fldChar w:fldCharType="end"/>
              </w:r>
            </w:hyperlink>
          </w:p>
          <w:p w:rsidR="00010FD9" w:rsidRDefault="00010FD9">
            <w:pPr>
              <w:pStyle w:val="Obsah1"/>
              <w:rPr>
                <w:rFonts w:asciiTheme="minorHAnsi" w:eastAsiaTheme="minorEastAsia" w:hAnsiTheme="minorHAnsi" w:cstheme="minorBidi"/>
                <w:b w:val="0"/>
                <w:sz w:val="22"/>
                <w:szCs w:val="22"/>
                <w:lang w:val="en-US" w:eastAsia="en-US"/>
              </w:rPr>
            </w:pPr>
            <w:hyperlink w:anchor="_Toc175914407" w:history="1">
              <w:r w:rsidRPr="002B6C1C">
                <w:rPr>
                  <w:rStyle w:val="Hypertextovodkaz"/>
                </w:rPr>
                <w:t>2</w:t>
              </w:r>
              <w:r>
                <w:rPr>
                  <w:rFonts w:asciiTheme="minorHAnsi" w:eastAsiaTheme="minorEastAsia" w:hAnsiTheme="minorHAnsi" w:cstheme="minorBidi"/>
                  <w:b w:val="0"/>
                  <w:sz w:val="22"/>
                  <w:szCs w:val="22"/>
                  <w:lang w:val="en-US" w:eastAsia="en-US"/>
                </w:rPr>
                <w:tab/>
              </w:r>
              <w:r w:rsidRPr="002B6C1C">
                <w:rPr>
                  <w:rStyle w:val="Hypertextovodkaz"/>
                </w:rPr>
                <w:t>Makroekonomický rámec</w:t>
              </w:r>
              <w:r>
                <w:rPr>
                  <w:webHidden/>
                </w:rPr>
                <w:tab/>
              </w:r>
              <w:r>
                <w:rPr>
                  <w:webHidden/>
                </w:rPr>
                <w:fldChar w:fldCharType="begin"/>
              </w:r>
              <w:r>
                <w:rPr>
                  <w:webHidden/>
                </w:rPr>
                <w:instrText xml:space="preserve"> PAGEREF _Toc175914407 \h </w:instrText>
              </w:r>
              <w:r>
                <w:rPr>
                  <w:webHidden/>
                </w:rPr>
              </w:r>
              <w:r>
                <w:rPr>
                  <w:webHidden/>
                </w:rPr>
                <w:fldChar w:fldCharType="separate"/>
              </w:r>
              <w:r>
                <w:rPr>
                  <w:webHidden/>
                </w:rPr>
                <w:t>2</w:t>
              </w:r>
              <w:r>
                <w:rPr>
                  <w:webHidden/>
                </w:rPr>
                <w:fldChar w:fldCharType="end"/>
              </w:r>
            </w:hyperlink>
          </w:p>
          <w:p w:rsidR="00010FD9" w:rsidRDefault="00010FD9">
            <w:pPr>
              <w:pStyle w:val="Obsah2"/>
              <w:rPr>
                <w:rFonts w:asciiTheme="minorHAnsi" w:eastAsiaTheme="minorEastAsia" w:hAnsiTheme="minorHAnsi" w:cstheme="minorBidi"/>
                <w:noProof/>
                <w:sz w:val="22"/>
                <w:szCs w:val="22"/>
                <w:lang w:val="en-US" w:eastAsia="en-US"/>
              </w:rPr>
            </w:pPr>
            <w:hyperlink w:anchor="_Toc175914408" w:history="1">
              <w:r w:rsidRPr="002B6C1C">
                <w:rPr>
                  <w:rStyle w:val="Hypertextovodkaz"/>
                  <w:noProof/>
                </w:rPr>
                <w:t>2.1</w:t>
              </w:r>
              <w:r>
                <w:rPr>
                  <w:rFonts w:asciiTheme="minorHAnsi" w:eastAsiaTheme="minorEastAsia" w:hAnsiTheme="minorHAnsi" w:cstheme="minorBidi"/>
                  <w:noProof/>
                  <w:sz w:val="22"/>
                  <w:szCs w:val="22"/>
                  <w:lang w:val="en-US" w:eastAsia="en-US"/>
                </w:rPr>
                <w:tab/>
              </w:r>
              <w:r w:rsidRPr="002B6C1C">
                <w:rPr>
                  <w:rStyle w:val="Hypertextovodkaz"/>
                  <w:noProof/>
                </w:rPr>
                <w:t>Předpoklady budoucího vývoje</w:t>
              </w:r>
              <w:r>
                <w:rPr>
                  <w:noProof/>
                  <w:webHidden/>
                </w:rPr>
                <w:tab/>
              </w:r>
              <w:r>
                <w:rPr>
                  <w:noProof/>
                  <w:webHidden/>
                </w:rPr>
                <w:fldChar w:fldCharType="begin"/>
              </w:r>
              <w:r>
                <w:rPr>
                  <w:noProof/>
                  <w:webHidden/>
                </w:rPr>
                <w:instrText xml:space="preserve"> PAGEREF _Toc175914408 \h </w:instrText>
              </w:r>
              <w:r>
                <w:rPr>
                  <w:noProof/>
                  <w:webHidden/>
                </w:rPr>
              </w:r>
              <w:r>
                <w:rPr>
                  <w:noProof/>
                  <w:webHidden/>
                </w:rPr>
                <w:fldChar w:fldCharType="separate"/>
              </w:r>
              <w:r>
                <w:rPr>
                  <w:noProof/>
                  <w:webHidden/>
                </w:rPr>
                <w:t>2</w:t>
              </w:r>
              <w:r>
                <w:rPr>
                  <w:noProof/>
                  <w:webHidden/>
                </w:rPr>
                <w:fldChar w:fldCharType="end"/>
              </w:r>
            </w:hyperlink>
          </w:p>
          <w:p w:rsidR="00010FD9" w:rsidRDefault="00010FD9">
            <w:pPr>
              <w:pStyle w:val="Obsah2"/>
              <w:rPr>
                <w:rFonts w:asciiTheme="minorHAnsi" w:eastAsiaTheme="minorEastAsia" w:hAnsiTheme="minorHAnsi" w:cstheme="minorBidi"/>
                <w:noProof/>
                <w:sz w:val="22"/>
                <w:szCs w:val="22"/>
                <w:lang w:val="en-US" w:eastAsia="en-US"/>
              </w:rPr>
            </w:pPr>
            <w:hyperlink w:anchor="_Toc175914409" w:history="1">
              <w:r w:rsidRPr="002B6C1C">
                <w:rPr>
                  <w:rStyle w:val="Hypertextovodkaz"/>
                  <w:noProof/>
                </w:rPr>
                <w:t>2.2</w:t>
              </w:r>
              <w:r>
                <w:rPr>
                  <w:rFonts w:asciiTheme="minorHAnsi" w:eastAsiaTheme="minorEastAsia" w:hAnsiTheme="minorHAnsi" w:cstheme="minorBidi"/>
                  <w:noProof/>
                  <w:sz w:val="22"/>
                  <w:szCs w:val="22"/>
                  <w:lang w:val="en-US" w:eastAsia="en-US"/>
                </w:rPr>
                <w:tab/>
              </w:r>
              <w:r w:rsidRPr="002B6C1C">
                <w:rPr>
                  <w:rStyle w:val="Hypertextovodkaz"/>
                  <w:noProof/>
                </w:rPr>
                <w:t>Makroekonomický vývoj v České republice</w:t>
              </w:r>
              <w:r>
                <w:rPr>
                  <w:noProof/>
                  <w:webHidden/>
                </w:rPr>
                <w:tab/>
              </w:r>
              <w:r>
                <w:rPr>
                  <w:noProof/>
                  <w:webHidden/>
                </w:rPr>
                <w:fldChar w:fldCharType="begin"/>
              </w:r>
              <w:r>
                <w:rPr>
                  <w:noProof/>
                  <w:webHidden/>
                </w:rPr>
                <w:instrText xml:space="preserve"> PAGEREF _Toc175914409 \h </w:instrText>
              </w:r>
              <w:r>
                <w:rPr>
                  <w:noProof/>
                  <w:webHidden/>
                </w:rPr>
              </w:r>
              <w:r>
                <w:rPr>
                  <w:noProof/>
                  <w:webHidden/>
                </w:rPr>
                <w:fldChar w:fldCharType="separate"/>
              </w:r>
              <w:r>
                <w:rPr>
                  <w:noProof/>
                  <w:webHidden/>
                </w:rPr>
                <w:t>4</w:t>
              </w:r>
              <w:r>
                <w:rPr>
                  <w:noProof/>
                  <w:webHidden/>
                </w:rPr>
                <w:fldChar w:fldCharType="end"/>
              </w:r>
            </w:hyperlink>
          </w:p>
          <w:p w:rsidR="00010FD9" w:rsidRDefault="00010FD9">
            <w:pPr>
              <w:pStyle w:val="Obsah2"/>
              <w:rPr>
                <w:rFonts w:asciiTheme="minorHAnsi" w:eastAsiaTheme="minorEastAsia" w:hAnsiTheme="minorHAnsi" w:cstheme="minorBidi"/>
                <w:noProof/>
                <w:sz w:val="22"/>
                <w:szCs w:val="22"/>
                <w:lang w:val="en-US" w:eastAsia="en-US"/>
              </w:rPr>
            </w:pPr>
            <w:hyperlink w:anchor="_Toc175914410" w:history="1">
              <w:r w:rsidRPr="002B6C1C">
                <w:rPr>
                  <w:rStyle w:val="Hypertextovodkaz"/>
                  <w:noProof/>
                </w:rPr>
                <w:t>2.3</w:t>
              </w:r>
              <w:r>
                <w:rPr>
                  <w:rFonts w:asciiTheme="minorHAnsi" w:eastAsiaTheme="minorEastAsia" w:hAnsiTheme="minorHAnsi" w:cstheme="minorBidi"/>
                  <w:noProof/>
                  <w:sz w:val="22"/>
                  <w:szCs w:val="22"/>
                  <w:lang w:val="en-US" w:eastAsia="en-US"/>
                </w:rPr>
                <w:tab/>
              </w:r>
              <w:r w:rsidRPr="002B6C1C">
                <w:rPr>
                  <w:rStyle w:val="Hypertextovodkaz"/>
                  <w:noProof/>
                </w:rPr>
                <w:t>Nezávislé ověření makroekonomického rámce</w:t>
              </w:r>
              <w:r>
                <w:rPr>
                  <w:noProof/>
                  <w:webHidden/>
                </w:rPr>
                <w:tab/>
              </w:r>
              <w:r>
                <w:rPr>
                  <w:noProof/>
                  <w:webHidden/>
                </w:rPr>
                <w:fldChar w:fldCharType="begin"/>
              </w:r>
              <w:r>
                <w:rPr>
                  <w:noProof/>
                  <w:webHidden/>
                </w:rPr>
                <w:instrText xml:space="preserve"> PAGEREF _Toc175914410 \h </w:instrText>
              </w:r>
              <w:r>
                <w:rPr>
                  <w:noProof/>
                  <w:webHidden/>
                </w:rPr>
              </w:r>
              <w:r>
                <w:rPr>
                  <w:noProof/>
                  <w:webHidden/>
                </w:rPr>
                <w:fldChar w:fldCharType="separate"/>
              </w:r>
              <w:r>
                <w:rPr>
                  <w:noProof/>
                  <w:webHidden/>
                </w:rPr>
                <w:t>7</w:t>
              </w:r>
              <w:r>
                <w:rPr>
                  <w:noProof/>
                  <w:webHidden/>
                </w:rPr>
                <w:fldChar w:fldCharType="end"/>
              </w:r>
            </w:hyperlink>
          </w:p>
          <w:p w:rsidR="00010FD9" w:rsidRDefault="00010FD9">
            <w:pPr>
              <w:pStyle w:val="Obsah1"/>
              <w:rPr>
                <w:rFonts w:asciiTheme="minorHAnsi" w:eastAsiaTheme="minorEastAsia" w:hAnsiTheme="minorHAnsi" w:cstheme="minorBidi"/>
                <w:b w:val="0"/>
                <w:sz w:val="22"/>
                <w:szCs w:val="22"/>
                <w:lang w:val="en-US" w:eastAsia="en-US"/>
              </w:rPr>
            </w:pPr>
            <w:hyperlink w:anchor="_Toc175914411" w:history="1">
              <w:r w:rsidRPr="002B6C1C">
                <w:rPr>
                  <w:rStyle w:val="Hypertextovodkaz"/>
                </w:rPr>
                <w:t>3</w:t>
              </w:r>
              <w:r>
                <w:rPr>
                  <w:rFonts w:asciiTheme="minorHAnsi" w:eastAsiaTheme="minorEastAsia" w:hAnsiTheme="minorHAnsi" w:cstheme="minorBidi"/>
                  <w:b w:val="0"/>
                  <w:sz w:val="22"/>
                  <w:szCs w:val="22"/>
                  <w:lang w:val="en-US" w:eastAsia="en-US"/>
                </w:rPr>
                <w:tab/>
              </w:r>
              <w:r w:rsidRPr="002B6C1C">
                <w:rPr>
                  <w:rStyle w:val="Hypertextovodkaz"/>
                </w:rPr>
                <w:t>Fiskální politika a veřejné finance</w:t>
              </w:r>
              <w:r>
                <w:rPr>
                  <w:webHidden/>
                </w:rPr>
                <w:tab/>
              </w:r>
              <w:r>
                <w:rPr>
                  <w:webHidden/>
                </w:rPr>
                <w:fldChar w:fldCharType="begin"/>
              </w:r>
              <w:r>
                <w:rPr>
                  <w:webHidden/>
                </w:rPr>
                <w:instrText xml:space="preserve"> PAGEREF _Toc175914411 \h </w:instrText>
              </w:r>
              <w:r>
                <w:rPr>
                  <w:webHidden/>
                </w:rPr>
              </w:r>
              <w:r>
                <w:rPr>
                  <w:webHidden/>
                </w:rPr>
                <w:fldChar w:fldCharType="separate"/>
              </w:r>
              <w:r>
                <w:rPr>
                  <w:webHidden/>
                </w:rPr>
                <w:t>8</w:t>
              </w:r>
              <w:r>
                <w:rPr>
                  <w:webHidden/>
                </w:rPr>
                <w:fldChar w:fldCharType="end"/>
              </w:r>
            </w:hyperlink>
          </w:p>
          <w:p w:rsidR="00010FD9" w:rsidRDefault="00010FD9">
            <w:pPr>
              <w:pStyle w:val="Obsah2"/>
              <w:rPr>
                <w:rFonts w:asciiTheme="minorHAnsi" w:eastAsiaTheme="minorEastAsia" w:hAnsiTheme="minorHAnsi" w:cstheme="minorBidi"/>
                <w:noProof/>
                <w:sz w:val="22"/>
                <w:szCs w:val="22"/>
                <w:lang w:val="en-US" w:eastAsia="en-US"/>
              </w:rPr>
            </w:pPr>
            <w:hyperlink w:anchor="_Toc175914412" w:history="1">
              <w:r w:rsidRPr="002B6C1C">
                <w:rPr>
                  <w:rStyle w:val="Hypertextovodkaz"/>
                  <w:noProof/>
                </w:rPr>
                <w:t>3.1</w:t>
              </w:r>
              <w:r>
                <w:rPr>
                  <w:rFonts w:asciiTheme="minorHAnsi" w:eastAsiaTheme="minorEastAsia" w:hAnsiTheme="minorHAnsi" w:cstheme="minorBidi"/>
                  <w:noProof/>
                  <w:sz w:val="22"/>
                  <w:szCs w:val="22"/>
                  <w:lang w:val="en-US" w:eastAsia="en-US"/>
                </w:rPr>
                <w:tab/>
              </w:r>
              <w:r w:rsidRPr="002B6C1C">
                <w:rPr>
                  <w:rStyle w:val="Hypertextovodkaz"/>
                  <w:noProof/>
                </w:rPr>
                <w:t>Očekávané hospodaření sektoru vládních institucí v roce 2024</w:t>
              </w:r>
              <w:r>
                <w:rPr>
                  <w:noProof/>
                  <w:webHidden/>
                </w:rPr>
                <w:tab/>
              </w:r>
              <w:r>
                <w:rPr>
                  <w:noProof/>
                  <w:webHidden/>
                </w:rPr>
                <w:fldChar w:fldCharType="begin"/>
              </w:r>
              <w:r>
                <w:rPr>
                  <w:noProof/>
                  <w:webHidden/>
                </w:rPr>
                <w:instrText xml:space="preserve"> PAGEREF _Toc175914412 \h </w:instrText>
              </w:r>
              <w:r>
                <w:rPr>
                  <w:noProof/>
                  <w:webHidden/>
                </w:rPr>
              </w:r>
              <w:r>
                <w:rPr>
                  <w:noProof/>
                  <w:webHidden/>
                </w:rPr>
                <w:fldChar w:fldCharType="separate"/>
              </w:r>
              <w:r>
                <w:rPr>
                  <w:noProof/>
                  <w:webHidden/>
                </w:rPr>
                <w:t>8</w:t>
              </w:r>
              <w:r>
                <w:rPr>
                  <w:noProof/>
                  <w:webHidden/>
                </w:rPr>
                <w:fldChar w:fldCharType="end"/>
              </w:r>
            </w:hyperlink>
          </w:p>
          <w:p w:rsidR="00010FD9" w:rsidRDefault="00010FD9">
            <w:pPr>
              <w:pStyle w:val="Obsah2"/>
              <w:rPr>
                <w:rFonts w:asciiTheme="minorHAnsi" w:eastAsiaTheme="minorEastAsia" w:hAnsiTheme="minorHAnsi" w:cstheme="minorBidi"/>
                <w:noProof/>
                <w:sz w:val="22"/>
                <w:szCs w:val="22"/>
                <w:lang w:val="en-US" w:eastAsia="en-US"/>
              </w:rPr>
            </w:pPr>
            <w:hyperlink w:anchor="_Toc175914413" w:history="1">
              <w:r w:rsidRPr="002B6C1C">
                <w:rPr>
                  <w:rStyle w:val="Hypertextovodkaz"/>
                  <w:noProof/>
                </w:rPr>
                <w:t>3.2</w:t>
              </w:r>
              <w:r>
                <w:rPr>
                  <w:rFonts w:asciiTheme="minorHAnsi" w:eastAsiaTheme="minorEastAsia" w:hAnsiTheme="minorHAnsi" w:cstheme="minorBidi"/>
                  <w:noProof/>
                  <w:sz w:val="22"/>
                  <w:szCs w:val="22"/>
                  <w:lang w:val="en-US" w:eastAsia="en-US"/>
                </w:rPr>
                <w:tab/>
              </w:r>
              <w:r w:rsidRPr="002B6C1C">
                <w:rPr>
                  <w:rStyle w:val="Hypertextovodkaz"/>
                  <w:noProof/>
                </w:rPr>
                <w:t>Predikce hospodaření sektoru vládních institucí v roce 2025</w:t>
              </w:r>
              <w:r>
                <w:rPr>
                  <w:noProof/>
                  <w:webHidden/>
                </w:rPr>
                <w:tab/>
              </w:r>
              <w:r>
                <w:rPr>
                  <w:noProof/>
                  <w:webHidden/>
                </w:rPr>
                <w:fldChar w:fldCharType="begin"/>
              </w:r>
              <w:r>
                <w:rPr>
                  <w:noProof/>
                  <w:webHidden/>
                </w:rPr>
                <w:instrText xml:space="preserve"> PAGEREF _Toc175914413 \h </w:instrText>
              </w:r>
              <w:r>
                <w:rPr>
                  <w:noProof/>
                  <w:webHidden/>
                </w:rPr>
              </w:r>
              <w:r>
                <w:rPr>
                  <w:noProof/>
                  <w:webHidden/>
                </w:rPr>
                <w:fldChar w:fldCharType="separate"/>
              </w:r>
              <w:r>
                <w:rPr>
                  <w:noProof/>
                  <w:webHidden/>
                </w:rPr>
                <w:t>9</w:t>
              </w:r>
              <w:r>
                <w:rPr>
                  <w:noProof/>
                  <w:webHidden/>
                </w:rPr>
                <w:fldChar w:fldCharType="end"/>
              </w:r>
            </w:hyperlink>
          </w:p>
          <w:p w:rsidR="00010FD9" w:rsidRDefault="00010FD9">
            <w:pPr>
              <w:pStyle w:val="Obsah2"/>
              <w:rPr>
                <w:rFonts w:asciiTheme="minorHAnsi" w:eastAsiaTheme="minorEastAsia" w:hAnsiTheme="minorHAnsi" w:cstheme="minorBidi"/>
                <w:noProof/>
                <w:sz w:val="22"/>
                <w:szCs w:val="22"/>
                <w:lang w:val="en-US" w:eastAsia="en-US"/>
              </w:rPr>
            </w:pPr>
            <w:hyperlink w:anchor="_Toc175914414" w:history="1">
              <w:r w:rsidRPr="002B6C1C">
                <w:rPr>
                  <w:rStyle w:val="Hypertextovodkaz"/>
                  <w:noProof/>
                </w:rPr>
                <w:t>3.3</w:t>
              </w:r>
              <w:r>
                <w:rPr>
                  <w:rFonts w:asciiTheme="minorHAnsi" w:eastAsiaTheme="minorEastAsia" w:hAnsiTheme="minorHAnsi" w:cstheme="minorBidi"/>
                  <w:noProof/>
                  <w:sz w:val="22"/>
                  <w:szCs w:val="22"/>
                  <w:lang w:val="en-US" w:eastAsia="en-US"/>
                </w:rPr>
                <w:tab/>
              </w:r>
              <w:r w:rsidRPr="002B6C1C">
                <w:rPr>
                  <w:rStyle w:val="Hypertextovodkaz"/>
                  <w:noProof/>
                </w:rPr>
                <w:t>Výhled hospodaření sektoru vládních institucí v letech 2026 a 2027</w:t>
              </w:r>
              <w:r>
                <w:rPr>
                  <w:noProof/>
                  <w:webHidden/>
                </w:rPr>
                <w:tab/>
              </w:r>
              <w:r>
                <w:rPr>
                  <w:noProof/>
                  <w:webHidden/>
                </w:rPr>
                <w:fldChar w:fldCharType="begin"/>
              </w:r>
              <w:r>
                <w:rPr>
                  <w:noProof/>
                  <w:webHidden/>
                </w:rPr>
                <w:instrText xml:space="preserve"> PAGEREF _Toc175914414 \h </w:instrText>
              </w:r>
              <w:r>
                <w:rPr>
                  <w:noProof/>
                  <w:webHidden/>
                </w:rPr>
              </w:r>
              <w:r>
                <w:rPr>
                  <w:noProof/>
                  <w:webHidden/>
                </w:rPr>
                <w:fldChar w:fldCharType="separate"/>
              </w:r>
              <w:r>
                <w:rPr>
                  <w:noProof/>
                  <w:webHidden/>
                </w:rPr>
                <w:t>10</w:t>
              </w:r>
              <w:r>
                <w:rPr>
                  <w:noProof/>
                  <w:webHidden/>
                </w:rPr>
                <w:fldChar w:fldCharType="end"/>
              </w:r>
            </w:hyperlink>
          </w:p>
          <w:p w:rsidR="00010FD9" w:rsidRDefault="00010FD9">
            <w:pPr>
              <w:pStyle w:val="Obsah1"/>
              <w:rPr>
                <w:rFonts w:asciiTheme="minorHAnsi" w:eastAsiaTheme="minorEastAsia" w:hAnsiTheme="minorHAnsi" w:cstheme="minorBidi"/>
                <w:b w:val="0"/>
                <w:sz w:val="22"/>
                <w:szCs w:val="22"/>
                <w:lang w:val="en-US" w:eastAsia="en-US"/>
              </w:rPr>
            </w:pPr>
            <w:hyperlink w:anchor="_Toc175914415" w:history="1">
              <w:r w:rsidRPr="002B6C1C">
                <w:rPr>
                  <w:rStyle w:val="Hypertextovodkaz"/>
                </w:rPr>
                <w:t>4</w:t>
              </w:r>
              <w:r>
                <w:rPr>
                  <w:rFonts w:asciiTheme="minorHAnsi" w:eastAsiaTheme="minorEastAsia" w:hAnsiTheme="minorHAnsi" w:cstheme="minorBidi"/>
                  <w:b w:val="0"/>
                  <w:sz w:val="22"/>
                  <w:szCs w:val="22"/>
                  <w:lang w:val="en-US" w:eastAsia="en-US"/>
                </w:rPr>
                <w:tab/>
              </w:r>
              <w:r w:rsidRPr="002B6C1C">
                <w:rPr>
                  <w:rStyle w:val="Hypertextovodkaz"/>
                </w:rPr>
                <w:t>Výdajový rámec na rok 2025 až 2027</w:t>
              </w:r>
              <w:r>
                <w:rPr>
                  <w:webHidden/>
                </w:rPr>
                <w:tab/>
              </w:r>
              <w:r>
                <w:rPr>
                  <w:webHidden/>
                </w:rPr>
                <w:fldChar w:fldCharType="begin"/>
              </w:r>
              <w:r>
                <w:rPr>
                  <w:webHidden/>
                </w:rPr>
                <w:instrText xml:space="preserve"> PAGEREF _Toc175914415 \h </w:instrText>
              </w:r>
              <w:r>
                <w:rPr>
                  <w:webHidden/>
                </w:rPr>
              </w:r>
              <w:r>
                <w:rPr>
                  <w:webHidden/>
                </w:rPr>
                <w:fldChar w:fldCharType="separate"/>
              </w:r>
              <w:r>
                <w:rPr>
                  <w:webHidden/>
                </w:rPr>
                <w:t>12</w:t>
              </w:r>
              <w:r>
                <w:rPr>
                  <w:webHidden/>
                </w:rPr>
                <w:fldChar w:fldCharType="end"/>
              </w:r>
            </w:hyperlink>
          </w:p>
          <w:p w:rsidR="00010FD9" w:rsidRDefault="00010FD9">
            <w:pPr>
              <w:pStyle w:val="Obsah1"/>
              <w:rPr>
                <w:rFonts w:asciiTheme="minorHAnsi" w:eastAsiaTheme="minorEastAsia" w:hAnsiTheme="minorHAnsi" w:cstheme="minorBidi"/>
                <w:b w:val="0"/>
                <w:sz w:val="22"/>
                <w:szCs w:val="22"/>
                <w:lang w:val="en-US" w:eastAsia="en-US"/>
              </w:rPr>
            </w:pPr>
            <w:hyperlink w:anchor="_Toc175914416" w:history="1">
              <w:r w:rsidRPr="002B6C1C">
                <w:rPr>
                  <w:rStyle w:val="Hypertextovodkaz"/>
                </w:rPr>
                <w:t>5</w:t>
              </w:r>
              <w:r>
                <w:rPr>
                  <w:rFonts w:asciiTheme="minorHAnsi" w:eastAsiaTheme="minorEastAsia" w:hAnsiTheme="minorHAnsi" w:cstheme="minorBidi"/>
                  <w:b w:val="0"/>
                  <w:sz w:val="22"/>
                  <w:szCs w:val="22"/>
                  <w:lang w:val="en-US" w:eastAsia="en-US"/>
                </w:rPr>
                <w:tab/>
              </w:r>
              <w:r w:rsidRPr="002B6C1C">
                <w:rPr>
                  <w:rStyle w:val="Hypertextovodkaz"/>
                </w:rPr>
                <w:t>Základní ukazatele státního rozpočtu ve střednědobém výhledu</w:t>
              </w:r>
              <w:r>
                <w:rPr>
                  <w:webHidden/>
                </w:rPr>
                <w:tab/>
              </w:r>
              <w:r>
                <w:rPr>
                  <w:webHidden/>
                </w:rPr>
                <w:fldChar w:fldCharType="begin"/>
              </w:r>
              <w:r>
                <w:rPr>
                  <w:webHidden/>
                </w:rPr>
                <w:instrText xml:space="preserve"> PAGEREF _Toc175914416 \h </w:instrText>
              </w:r>
              <w:r>
                <w:rPr>
                  <w:webHidden/>
                </w:rPr>
              </w:r>
              <w:r>
                <w:rPr>
                  <w:webHidden/>
                </w:rPr>
                <w:fldChar w:fldCharType="separate"/>
              </w:r>
              <w:r>
                <w:rPr>
                  <w:webHidden/>
                </w:rPr>
                <w:t>14</w:t>
              </w:r>
              <w:r>
                <w:rPr>
                  <w:webHidden/>
                </w:rPr>
                <w:fldChar w:fldCharType="end"/>
              </w:r>
            </w:hyperlink>
          </w:p>
          <w:p w:rsidR="00010FD9" w:rsidRDefault="00010FD9">
            <w:pPr>
              <w:pStyle w:val="Obsah2"/>
              <w:rPr>
                <w:rFonts w:asciiTheme="minorHAnsi" w:eastAsiaTheme="minorEastAsia" w:hAnsiTheme="minorHAnsi" w:cstheme="minorBidi"/>
                <w:noProof/>
                <w:sz w:val="22"/>
                <w:szCs w:val="22"/>
                <w:lang w:val="en-US" w:eastAsia="en-US"/>
              </w:rPr>
            </w:pPr>
            <w:hyperlink w:anchor="_Toc175914417" w:history="1">
              <w:r w:rsidRPr="002B6C1C">
                <w:rPr>
                  <w:rStyle w:val="Hypertextovodkaz"/>
                  <w:noProof/>
                </w:rPr>
                <w:t>5.1</w:t>
              </w:r>
              <w:r>
                <w:rPr>
                  <w:rFonts w:asciiTheme="minorHAnsi" w:eastAsiaTheme="minorEastAsia" w:hAnsiTheme="minorHAnsi" w:cstheme="minorBidi"/>
                  <w:noProof/>
                  <w:sz w:val="22"/>
                  <w:szCs w:val="22"/>
                  <w:lang w:val="en-US" w:eastAsia="en-US"/>
                </w:rPr>
                <w:tab/>
              </w:r>
              <w:r w:rsidRPr="002B6C1C">
                <w:rPr>
                  <w:rStyle w:val="Hypertextovodkaz"/>
                  <w:noProof/>
                </w:rPr>
                <w:t>Východiska zpracování střednědobého výhledu</w:t>
              </w:r>
              <w:r>
                <w:rPr>
                  <w:noProof/>
                  <w:webHidden/>
                </w:rPr>
                <w:tab/>
              </w:r>
              <w:r>
                <w:rPr>
                  <w:noProof/>
                  <w:webHidden/>
                </w:rPr>
                <w:fldChar w:fldCharType="begin"/>
              </w:r>
              <w:r>
                <w:rPr>
                  <w:noProof/>
                  <w:webHidden/>
                </w:rPr>
                <w:instrText xml:space="preserve"> PAGEREF _Toc175914417 \h </w:instrText>
              </w:r>
              <w:r>
                <w:rPr>
                  <w:noProof/>
                  <w:webHidden/>
                </w:rPr>
              </w:r>
              <w:r>
                <w:rPr>
                  <w:noProof/>
                  <w:webHidden/>
                </w:rPr>
                <w:fldChar w:fldCharType="separate"/>
              </w:r>
              <w:r>
                <w:rPr>
                  <w:noProof/>
                  <w:webHidden/>
                </w:rPr>
                <w:t>14</w:t>
              </w:r>
              <w:r>
                <w:rPr>
                  <w:noProof/>
                  <w:webHidden/>
                </w:rPr>
                <w:fldChar w:fldCharType="end"/>
              </w:r>
            </w:hyperlink>
          </w:p>
          <w:p w:rsidR="00010FD9" w:rsidRDefault="00010FD9">
            <w:pPr>
              <w:pStyle w:val="Obsah2"/>
              <w:rPr>
                <w:rFonts w:asciiTheme="minorHAnsi" w:eastAsiaTheme="minorEastAsia" w:hAnsiTheme="minorHAnsi" w:cstheme="minorBidi"/>
                <w:noProof/>
                <w:sz w:val="22"/>
                <w:szCs w:val="22"/>
                <w:lang w:val="en-US" w:eastAsia="en-US"/>
              </w:rPr>
            </w:pPr>
            <w:hyperlink w:anchor="_Toc175914418" w:history="1">
              <w:r w:rsidRPr="002B6C1C">
                <w:rPr>
                  <w:rStyle w:val="Hypertextovodkaz"/>
                  <w:noProof/>
                </w:rPr>
                <w:t>5.2</w:t>
              </w:r>
              <w:r>
                <w:rPr>
                  <w:rFonts w:asciiTheme="minorHAnsi" w:eastAsiaTheme="minorEastAsia" w:hAnsiTheme="minorHAnsi" w:cstheme="minorBidi"/>
                  <w:noProof/>
                  <w:sz w:val="22"/>
                  <w:szCs w:val="22"/>
                  <w:lang w:val="en-US" w:eastAsia="en-US"/>
                </w:rPr>
                <w:tab/>
              </w:r>
              <w:r w:rsidRPr="002B6C1C">
                <w:rPr>
                  <w:rStyle w:val="Hypertextovodkaz"/>
                  <w:noProof/>
                </w:rPr>
                <w:t>Příjmy státního rozpočtu</w:t>
              </w:r>
              <w:r>
                <w:rPr>
                  <w:noProof/>
                  <w:webHidden/>
                </w:rPr>
                <w:tab/>
              </w:r>
              <w:r>
                <w:rPr>
                  <w:noProof/>
                  <w:webHidden/>
                </w:rPr>
                <w:fldChar w:fldCharType="begin"/>
              </w:r>
              <w:r>
                <w:rPr>
                  <w:noProof/>
                  <w:webHidden/>
                </w:rPr>
                <w:instrText xml:space="preserve"> PAGEREF _Toc175914418 \h </w:instrText>
              </w:r>
              <w:r>
                <w:rPr>
                  <w:noProof/>
                  <w:webHidden/>
                </w:rPr>
              </w:r>
              <w:r>
                <w:rPr>
                  <w:noProof/>
                  <w:webHidden/>
                </w:rPr>
                <w:fldChar w:fldCharType="separate"/>
              </w:r>
              <w:r>
                <w:rPr>
                  <w:noProof/>
                  <w:webHidden/>
                </w:rPr>
                <w:t>14</w:t>
              </w:r>
              <w:r>
                <w:rPr>
                  <w:noProof/>
                  <w:webHidden/>
                </w:rPr>
                <w:fldChar w:fldCharType="end"/>
              </w:r>
            </w:hyperlink>
          </w:p>
          <w:p w:rsidR="00010FD9" w:rsidRDefault="00010FD9">
            <w:pPr>
              <w:pStyle w:val="Obsah2"/>
              <w:rPr>
                <w:rFonts w:asciiTheme="minorHAnsi" w:eastAsiaTheme="minorEastAsia" w:hAnsiTheme="minorHAnsi" w:cstheme="minorBidi"/>
                <w:noProof/>
                <w:sz w:val="22"/>
                <w:szCs w:val="22"/>
                <w:lang w:val="en-US" w:eastAsia="en-US"/>
              </w:rPr>
            </w:pPr>
            <w:hyperlink w:anchor="_Toc175914419" w:history="1">
              <w:r w:rsidRPr="002B6C1C">
                <w:rPr>
                  <w:rStyle w:val="Hypertextovodkaz"/>
                  <w:noProof/>
                </w:rPr>
                <w:t>5.3</w:t>
              </w:r>
              <w:r>
                <w:rPr>
                  <w:rFonts w:asciiTheme="minorHAnsi" w:eastAsiaTheme="minorEastAsia" w:hAnsiTheme="minorHAnsi" w:cstheme="minorBidi"/>
                  <w:noProof/>
                  <w:sz w:val="22"/>
                  <w:szCs w:val="22"/>
                  <w:lang w:val="en-US" w:eastAsia="en-US"/>
                </w:rPr>
                <w:tab/>
              </w:r>
              <w:r w:rsidRPr="002B6C1C">
                <w:rPr>
                  <w:rStyle w:val="Hypertextovodkaz"/>
                  <w:noProof/>
                </w:rPr>
                <w:t>Výdaje státního rozpočtu</w:t>
              </w:r>
              <w:r>
                <w:rPr>
                  <w:noProof/>
                  <w:webHidden/>
                </w:rPr>
                <w:tab/>
              </w:r>
              <w:r>
                <w:rPr>
                  <w:noProof/>
                  <w:webHidden/>
                </w:rPr>
                <w:fldChar w:fldCharType="begin"/>
              </w:r>
              <w:r>
                <w:rPr>
                  <w:noProof/>
                  <w:webHidden/>
                </w:rPr>
                <w:instrText xml:space="preserve"> PAGEREF _Toc175914419 \h </w:instrText>
              </w:r>
              <w:r>
                <w:rPr>
                  <w:noProof/>
                  <w:webHidden/>
                </w:rPr>
              </w:r>
              <w:r>
                <w:rPr>
                  <w:noProof/>
                  <w:webHidden/>
                </w:rPr>
                <w:fldChar w:fldCharType="separate"/>
              </w:r>
              <w:r>
                <w:rPr>
                  <w:noProof/>
                  <w:webHidden/>
                </w:rPr>
                <w:t>19</w:t>
              </w:r>
              <w:r>
                <w:rPr>
                  <w:noProof/>
                  <w:webHidden/>
                </w:rPr>
                <w:fldChar w:fldCharType="end"/>
              </w:r>
            </w:hyperlink>
          </w:p>
          <w:p w:rsidR="00010FD9" w:rsidRDefault="00010FD9">
            <w:pPr>
              <w:pStyle w:val="Obsah2"/>
              <w:rPr>
                <w:rFonts w:asciiTheme="minorHAnsi" w:eastAsiaTheme="minorEastAsia" w:hAnsiTheme="minorHAnsi" w:cstheme="minorBidi"/>
                <w:noProof/>
                <w:sz w:val="22"/>
                <w:szCs w:val="22"/>
                <w:lang w:val="en-US" w:eastAsia="en-US"/>
              </w:rPr>
            </w:pPr>
            <w:hyperlink w:anchor="_Toc175914420" w:history="1">
              <w:r w:rsidRPr="002B6C1C">
                <w:rPr>
                  <w:rStyle w:val="Hypertextovodkaz"/>
                  <w:noProof/>
                </w:rPr>
                <w:t>5.4</w:t>
              </w:r>
              <w:r>
                <w:rPr>
                  <w:rFonts w:asciiTheme="minorHAnsi" w:eastAsiaTheme="minorEastAsia" w:hAnsiTheme="minorHAnsi" w:cstheme="minorBidi"/>
                  <w:noProof/>
                  <w:sz w:val="22"/>
                  <w:szCs w:val="22"/>
                  <w:lang w:val="en-US" w:eastAsia="en-US"/>
                </w:rPr>
                <w:tab/>
              </w:r>
              <w:r w:rsidRPr="002B6C1C">
                <w:rPr>
                  <w:rStyle w:val="Hypertextovodkaz"/>
                  <w:noProof/>
                </w:rPr>
                <w:t>Předpokládaný způsob financování deficitu</w:t>
              </w:r>
              <w:r>
                <w:rPr>
                  <w:noProof/>
                  <w:webHidden/>
                </w:rPr>
                <w:tab/>
              </w:r>
              <w:r>
                <w:rPr>
                  <w:noProof/>
                  <w:webHidden/>
                </w:rPr>
                <w:fldChar w:fldCharType="begin"/>
              </w:r>
              <w:r>
                <w:rPr>
                  <w:noProof/>
                  <w:webHidden/>
                </w:rPr>
                <w:instrText xml:space="preserve"> PAGEREF _Toc175914420 \h </w:instrText>
              </w:r>
              <w:r>
                <w:rPr>
                  <w:noProof/>
                  <w:webHidden/>
                </w:rPr>
              </w:r>
              <w:r>
                <w:rPr>
                  <w:noProof/>
                  <w:webHidden/>
                </w:rPr>
                <w:fldChar w:fldCharType="separate"/>
              </w:r>
              <w:r>
                <w:rPr>
                  <w:noProof/>
                  <w:webHidden/>
                </w:rPr>
                <w:t>27</w:t>
              </w:r>
              <w:r>
                <w:rPr>
                  <w:noProof/>
                  <w:webHidden/>
                </w:rPr>
                <w:fldChar w:fldCharType="end"/>
              </w:r>
            </w:hyperlink>
          </w:p>
          <w:p w:rsidR="00010FD9" w:rsidRDefault="00010FD9">
            <w:pPr>
              <w:pStyle w:val="Obsah1"/>
              <w:rPr>
                <w:rFonts w:asciiTheme="minorHAnsi" w:eastAsiaTheme="minorEastAsia" w:hAnsiTheme="minorHAnsi" w:cstheme="minorBidi"/>
                <w:b w:val="0"/>
                <w:sz w:val="22"/>
                <w:szCs w:val="22"/>
                <w:lang w:val="en-US" w:eastAsia="en-US"/>
              </w:rPr>
            </w:pPr>
            <w:hyperlink w:anchor="_Toc175914421" w:history="1">
              <w:r w:rsidRPr="002B6C1C">
                <w:rPr>
                  <w:rStyle w:val="Hypertextovodkaz"/>
                </w:rPr>
                <w:t>6</w:t>
              </w:r>
              <w:r>
                <w:rPr>
                  <w:rFonts w:asciiTheme="minorHAnsi" w:eastAsiaTheme="minorEastAsia" w:hAnsiTheme="minorHAnsi" w:cstheme="minorBidi"/>
                  <w:b w:val="0"/>
                  <w:sz w:val="22"/>
                  <w:szCs w:val="22"/>
                  <w:lang w:val="en-US" w:eastAsia="en-US"/>
                </w:rPr>
                <w:tab/>
              </w:r>
              <w:r w:rsidRPr="002B6C1C">
                <w:rPr>
                  <w:rStyle w:val="Hypertextovodkaz"/>
                </w:rPr>
                <w:t>Základní ukazatele státních fondů ve střednědobém výhledu</w:t>
              </w:r>
              <w:r>
                <w:rPr>
                  <w:webHidden/>
                </w:rPr>
                <w:tab/>
              </w:r>
              <w:r>
                <w:rPr>
                  <w:webHidden/>
                </w:rPr>
                <w:fldChar w:fldCharType="begin"/>
              </w:r>
              <w:r>
                <w:rPr>
                  <w:webHidden/>
                </w:rPr>
                <w:instrText xml:space="preserve"> PAGEREF _Toc175914421 \h </w:instrText>
              </w:r>
              <w:r>
                <w:rPr>
                  <w:webHidden/>
                </w:rPr>
              </w:r>
              <w:r>
                <w:rPr>
                  <w:webHidden/>
                </w:rPr>
                <w:fldChar w:fldCharType="separate"/>
              </w:r>
              <w:r>
                <w:rPr>
                  <w:webHidden/>
                </w:rPr>
                <w:t>28</w:t>
              </w:r>
              <w:r>
                <w:rPr>
                  <w:webHidden/>
                </w:rPr>
                <w:fldChar w:fldCharType="end"/>
              </w:r>
            </w:hyperlink>
          </w:p>
          <w:p w:rsidR="00010FD9" w:rsidRDefault="00010FD9">
            <w:pPr>
              <w:pStyle w:val="Obsah2"/>
              <w:rPr>
                <w:rFonts w:asciiTheme="minorHAnsi" w:eastAsiaTheme="minorEastAsia" w:hAnsiTheme="minorHAnsi" w:cstheme="minorBidi"/>
                <w:noProof/>
                <w:sz w:val="22"/>
                <w:szCs w:val="22"/>
                <w:lang w:val="en-US" w:eastAsia="en-US"/>
              </w:rPr>
            </w:pPr>
            <w:hyperlink w:anchor="_Toc175914422" w:history="1">
              <w:r w:rsidRPr="002B6C1C">
                <w:rPr>
                  <w:rStyle w:val="Hypertextovodkaz"/>
                  <w:noProof/>
                </w:rPr>
                <w:t>6.1</w:t>
              </w:r>
              <w:r>
                <w:rPr>
                  <w:rFonts w:asciiTheme="minorHAnsi" w:eastAsiaTheme="minorEastAsia" w:hAnsiTheme="minorHAnsi" w:cstheme="minorBidi"/>
                  <w:noProof/>
                  <w:sz w:val="22"/>
                  <w:szCs w:val="22"/>
                  <w:lang w:val="en-US" w:eastAsia="en-US"/>
                </w:rPr>
                <w:tab/>
              </w:r>
              <w:r w:rsidRPr="002B6C1C">
                <w:rPr>
                  <w:rStyle w:val="Hypertextovodkaz"/>
                  <w:noProof/>
                </w:rPr>
                <w:t>Státní fond dopravní infrastruktury (SFDI)</w:t>
              </w:r>
              <w:r>
                <w:rPr>
                  <w:noProof/>
                  <w:webHidden/>
                </w:rPr>
                <w:tab/>
              </w:r>
              <w:r>
                <w:rPr>
                  <w:noProof/>
                  <w:webHidden/>
                </w:rPr>
                <w:fldChar w:fldCharType="begin"/>
              </w:r>
              <w:r>
                <w:rPr>
                  <w:noProof/>
                  <w:webHidden/>
                </w:rPr>
                <w:instrText xml:space="preserve"> PAGEREF _Toc175914422 \h </w:instrText>
              </w:r>
              <w:r>
                <w:rPr>
                  <w:noProof/>
                  <w:webHidden/>
                </w:rPr>
              </w:r>
              <w:r>
                <w:rPr>
                  <w:noProof/>
                  <w:webHidden/>
                </w:rPr>
                <w:fldChar w:fldCharType="separate"/>
              </w:r>
              <w:r>
                <w:rPr>
                  <w:noProof/>
                  <w:webHidden/>
                </w:rPr>
                <w:t>28</w:t>
              </w:r>
              <w:r>
                <w:rPr>
                  <w:noProof/>
                  <w:webHidden/>
                </w:rPr>
                <w:fldChar w:fldCharType="end"/>
              </w:r>
            </w:hyperlink>
          </w:p>
          <w:p w:rsidR="00010FD9" w:rsidRDefault="00010FD9">
            <w:pPr>
              <w:pStyle w:val="Obsah2"/>
              <w:rPr>
                <w:rFonts w:asciiTheme="minorHAnsi" w:eastAsiaTheme="minorEastAsia" w:hAnsiTheme="minorHAnsi" w:cstheme="minorBidi"/>
                <w:noProof/>
                <w:sz w:val="22"/>
                <w:szCs w:val="22"/>
                <w:lang w:val="en-US" w:eastAsia="en-US"/>
              </w:rPr>
            </w:pPr>
            <w:hyperlink w:anchor="_Toc175914423" w:history="1">
              <w:r w:rsidRPr="002B6C1C">
                <w:rPr>
                  <w:rStyle w:val="Hypertextovodkaz"/>
                  <w:noProof/>
                </w:rPr>
                <w:t>6.2</w:t>
              </w:r>
              <w:r>
                <w:rPr>
                  <w:rFonts w:asciiTheme="minorHAnsi" w:eastAsiaTheme="minorEastAsia" w:hAnsiTheme="minorHAnsi" w:cstheme="minorBidi"/>
                  <w:noProof/>
                  <w:sz w:val="22"/>
                  <w:szCs w:val="22"/>
                  <w:lang w:val="en-US" w:eastAsia="en-US"/>
                </w:rPr>
                <w:tab/>
              </w:r>
              <w:r w:rsidRPr="002B6C1C">
                <w:rPr>
                  <w:rStyle w:val="Hypertextovodkaz"/>
                  <w:noProof/>
                </w:rPr>
                <w:t>Státní zemědělský intervenční fond (SZIF)</w:t>
              </w:r>
              <w:r>
                <w:rPr>
                  <w:noProof/>
                  <w:webHidden/>
                </w:rPr>
                <w:tab/>
              </w:r>
              <w:r>
                <w:rPr>
                  <w:noProof/>
                  <w:webHidden/>
                </w:rPr>
                <w:fldChar w:fldCharType="begin"/>
              </w:r>
              <w:r>
                <w:rPr>
                  <w:noProof/>
                  <w:webHidden/>
                </w:rPr>
                <w:instrText xml:space="preserve"> PAGEREF _Toc175914423 \h </w:instrText>
              </w:r>
              <w:r>
                <w:rPr>
                  <w:noProof/>
                  <w:webHidden/>
                </w:rPr>
              </w:r>
              <w:r>
                <w:rPr>
                  <w:noProof/>
                  <w:webHidden/>
                </w:rPr>
                <w:fldChar w:fldCharType="separate"/>
              </w:r>
              <w:r>
                <w:rPr>
                  <w:noProof/>
                  <w:webHidden/>
                </w:rPr>
                <w:t>28</w:t>
              </w:r>
              <w:r>
                <w:rPr>
                  <w:noProof/>
                  <w:webHidden/>
                </w:rPr>
                <w:fldChar w:fldCharType="end"/>
              </w:r>
            </w:hyperlink>
          </w:p>
          <w:p w:rsidR="00010FD9" w:rsidRDefault="00010FD9">
            <w:pPr>
              <w:pStyle w:val="Obsah2"/>
              <w:rPr>
                <w:rFonts w:asciiTheme="minorHAnsi" w:eastAsiaTheme="minorEastAsia" w:hAnsiTheme="minorHAnsi" w:cstheme="minorBidi"/>
                <w:noProof/>
                <w:sz w:val="22"/>
                <w:szCs w:val="22"/>
                <w:lang w:val="en-US" w:eastAsia="en-US"/>
              </w:rPr>
            </w:pPr>
            <w:hyperlink w:anchor="_Toc175914424" w:history="1">
              <w:r w:rsidRPr="002B6C1C">
                <w:rPr>
                  <w:rStyle w:val="Hypertextovodkaz"/>
                  <w:noProof/>
                </w:rPr>
                <w:t>6.3</w:t>
              </w:r>
              <w:r>
                <w:rPr>
                  <w:rFonts w:asciiTheme="minorHAnsi" w:eastAsiaTheme="minorEastAsia" w:hAnsiTheme="minorHAnsi" w:cstheme="minorBidi"/>
                  <w:noProof/>
                  <w:sz w:val="22"/>
                  <w:szCs w:val="22"/>
                  <w:lang w:val="en-US" w:eastAsia="en-US"/>
                </w:rPr>
                <w:tab/>
              </w:r>
              <w:r w:rsidRPr="002B6C1C">
                <w:rPr>
                  <w:rStyle w:val="Hypertextovodkaz"/>
                  <w:noProof/>
                </w:rPr>
                <w:t>Státní fond kinematografie (SFKMG)</w:t>
              </w:r>
              <w:r>
                <w:rPr>
                  <w:noProof/>
                  <w:webHidden/>
                </w:rPr>
                <w:tab/>
              </w:r>
              <w:r>
                <w:rPr>
                  <w:noProof/>
                  <w:webHidden/>
                </w:rPr>
                <w:fldChar w:fldCharType="begin"/>
              </w:r>
              <w:r>
                <w:rPr>
                  <w:noProof/>
                  <w:webHidden/>
                </w:rPr>
                <w:instrText xml:space="preserve"> PAGEREF _Toc175914424 \h </w:instrText>
              </w:r>
              <w:r>
                <w:rPr>
                  <w:noProof/>
                  <w:webHidden/>
                </w:rPr>
              </w:r>
              <w:r>
                <w:rPr>
                  <w:noProof/>
                  <w:webHidden/>
                </w:rPr>
                <w:fldChar w:fldCharType="separate"/>
              </w:r>
              <w:r>
                <w:rPr>
                  <w:noProof/>
                  <w:webHidden/>
                </w:rPr>
                <w:t>29</w:t>
              </w:r>
              <w:r>
                <w:rPr>
                  <w:noProof/>
                  <w:webHidden/>
                </w:rPr>
                <w:fldChar w:fldCharType="end"/>
              </w:r>
            </w:hyperlink>
          </w:p>
          <w:p w:rsidR="00010FD9" w:rsidRDefault="00010FD9">
            <w:pPr>
              <w:pStyle w:val="Obsah2"/>
              <w:rPr>
                <w:rFonts w:asciiTheme="minorHAnsi" w:eastAsiaTheme="minorEastAsia" w:hAnsiTheme="minorHAnsi" w:cstheme="minorBidi"/>
                <w:noProof/>
                <w:sz w:val="22"/>
                <w:szCs w:val="22"/>
                <w:lang w:val="en-US" w:eastAsia="en-US"/>
              </w:rPr>
            </w:pPr>
            <w:hyperlink w:anchor="_Toc175914425" w:history="1">
              <w:r w:rsidRPr="002B6C1C">
                <w:rPr>
                  <w:rStyle w:val="Hypertextovodkaz"/>
                  <w:noProof/>
                </w:rPr>
                <w:t>6.4</w:t>
              </w:r>
              <w:r>
                <w:rPr>
                  <w:rFonts w:asciiTheme="minorHAnsi" w:eastAsiaTheme="minorEastAsia" w:hAnsiTheme="minorHAnsi" w:cstheme="minorBidi"/>
                  <w:noProof/>
                  <w:sz w:val="22"/>
                  <w:szCs w:val="22"/>
                  <w:lang w:val="en-US" w:eastAsia="en-US"/>
                </w:rPr>
                <w:tab/>
              </w:r>
              <w:r w:rsidRPr="002B6C1C">
                <w:rPr>
                  <w:rStyle w:val="Hypertextovodkaz"/>
                  <w:noProof/>
                </w:rPr>
                <w:t>Státní fond kultury České republiky (SFK ČR)</w:t>
              </w:r>
              <w:r>
                <w:rPr>
                  <w:noProof/>
                  <w:webHidden/>
                </w:rPr>
                <w:tab/>
              </w:r>
              <w:r>
                <w:rPr>
                  <w:noProof/>
                  <w:webHidden/>
                </w:rPr>
                <w:fldChar w:fldCharType="begin"/>
              </w:r>
              <w:r>
                <w:rPr>
                  <w:noProof/>
                  <w:webHidden/>
                </w:rPr>
                <w:instrText xml:space="preserve"> PAGEREF _Toc175914425 \h </w:instrText>
              </w:r>
              <w:r>
                <w:rPr>
                  <w:noProof/>
                  <w:webHidden/>
                </w:rPr>
              </w:r>
              <w:r>
                <w:rPr>
                  <w:noProof/>
                  <w:webHidden/>
                </w:rPr>
                <w:fldChar w:fldCharType="separate"/>
              </w:r>
              <w:r>
                <w:rPr>
                  <w:noProof/>
                  <w:webHidden/>
                </w:rPr>
                <w:t>29</w:t>
              </w:r>
              <w:r>
                <w:rPr>
                  <w:noProof/>
                  <w:webHidden/>
                </w:rPr>
                <w:fldChar w:fldCharType="end"/>
              </w:r>
            </w:hyperlink>
          </w:p>
          <w:p w:rsidR="00010FD9" w:rsidRDefault="00010FD9">
            <w:pPr>
              <w:pStyle w:val="Obsah2"/>
              <w:rPr>
                <w:rFonts w:asciiTheme="minorHAnsi" w:eastAsiaTheme="minorEastAsia" w:hAnsiTheme="minorHAnsi" w:cstheme="minorBidi"/>
                <w:noProof/>
                <w:sz w:val="22"/>
                <w:szCs w:val="22"/>
                <w:lang w:val="en-US" w:eastAsia="en-US"/>
              </w:rPr>
            </w:pPr>
            <w:hyperlink w:anchor="_Toc175914426" w:history="1">
              <w:r w:rsidRPr="002B6C1C">
                <w:rPr>
                  <w:rStyle w:val="Hypertextovodkaz"/>
                  <w:noProof/>
                </w:rPr>
                <w:t>6.5</w:t>
              </w:r>
              <w:r>
                <w:rPr>
                  <w:rFonts w:asciiTheme="minorHAnsi" w:eastAsiaTheme="minorEastAsia" w:hAnsiTheme="minorHAnsi" w:cstheme="minorBidi"/>
                  <w:noProof/>
                  <w:sz w:val="22"/>
                  <w:szCs w:val="22"/>
                  <w:lang w:val="en-US" w:eastAsia="en-US"/>
                </w:rPr>
                <w:tab/>
              </w:r>
              <w:r w:rsidRPr="002B6C1C">
                <w:rPr>
                  <w:rStyle w:val="Hypertextovodkaz"/>
                  <w:noProof/>
                </w:rPr>
                <w:t>Státní fond podpory investic (SFPI)</w:t>
              </w:r>
              <w:r>
                <w:rPr>
                  <w:noProof/>
                  <w:webHidden/>
                </w:rPr>
                <w:tab/>
              </w:r>
              <w:r>
                <w:rPr>
                  <w:noProof/>
                  <w:webHidden/>
                </w:rPr>
                <w:fldChar w:fldCharType="begin"/>
              </w:r>
              <w:r>
                <w:rPr>
                  <w:noProof/>
                  <w:webHidden/>
                </w:rPr>
                <w:instrText xml:space="preserve"> PAGEREF _Toc175914426 \h </w:instrText>
              </w:r>
              <w:r>
                <w:rPr>
                  <w:noProof/>
                  <w:webHidden/>
                </w:rPr>
              </w:r>
              <w:r>
                <w:rPr>
                  <w:noProof/>
                  <w:webHidden/>
                </w:rPr>
                <w:fldChar w:fldCharType="separate"/>
              </w:r>
              <w:r>
                <w:rPr>
                  <w:noProof/>
                  <w:webHidden/>
                </w:rPr>
                <w:t>30</w:t>
              </w:r>
              <w:r>
                <w:rPr>
                  <w:noProof/>
                  <w:webHidden/>
                </w:rPr>
                <w:fldChar w:fldCharType="end"/>
              </w:r>
            </w:hyperlink>
          </w:p>
          <w:p w:rsidR="00010FD9" w:rsidRDefault="00010FD9">
            <w:pPr>
              <w:pStyle w:val="Obsah2"/>
              <w:rPr>
                <w:rFonts w:asciiTheme="minorHAnsi" w:eastAsiaTheme="minorEastAsia" w:hAnsiTheme="minorHAnsi" w:cstheme="minorBidi"/>
                <w:noProof/>
                <w:sz w:val="22"/>
                <w:szCs w:val="22"/>
                <w:lang w:val="en-US" w:eastAsia="en-US"/>
              </w:rPr>
            </w:pPr>
            <w:hyperlink w:anchor="_Toc175914427" w:history="1">
              <w:r w:rsidRPr="002B6C1C">
                <w:rPr>
                  <w:rStyle w:val="Hypertextovodkaz"/>
                  <w:noProof/>
                </w:rPr>
                <w:t>6.6</w:t>
              </w:r>
              <w:r>
                <w:rPr>
                  <w:rFonts w:asciiTheme="minorHAnsi" w:eastAsiaTheme="minorEastAsia" w:hAnsiTheme="minorHAnsi" w:cstheme="minorBidi"/>
                  <w:noProof/>
                  <w:sz w:val="22"/>
                  <w:szCs w:val="22"/>
                  <w:lang w:val="en-US" w:eastAsia="en-US"/>
                </w:rPr>
                <w:tab/>
              </w:r>
              <w:r w:rsidRPr="002B6C1C">
                <w:rPr>
                  <w:rStyle w:val="Hypertextovodkaz"/>
                  <w:noProof/>
                </w:rPr>
                <w:t>Státní fond životního prostředí České republiky (SFŽP ČR)</w:t>
              </w:r>
              <w:r>
                <w:rPr>
                  <w:noProof/>
                  <w:webHidden/>
                </w:rPr>
                <w:tab/>
              </w:r>
              <w:r>
                <w:rPr>
                  <w:noProof/>
                  <w:webHidden/>
                </w:rPr>
                <w:fldChar w:fldCharType="begin"/>
              </w:r>
              <w:r>
                <w:rPr>
                  <w:noProof/>
                  <w:webHidden/>
                </w:rPr>
                <w:instrText xml:space="preserve"> PAGEREF _Toc175914427 \h </w:instrText>
              </w:r>
              <w:r>
                <w:rPr>
                  <w:noProof/>
                  <w:webHidden/>
                </w:rPr>
              </w:r>
              <w:r>
                <w:rPr>
                  <w:noProof/>
                  <w:webHidden/>
                </w:rPr>
                <w:fldChar w:fldCharType="separate"/>
              </w:r>
              <w:r>
                <w:rPr>
                  <w:noProof/>
                  <w:webHidden/>
                </w:rPr>
                <w:t>30</w:t>
              </w:r>
              <w:r>
                <w:rPr>
                  <w:noProof/>
                  <w:webHidden/>
                </w:rPr>
                <w:fldChar w:fldCharType="end"/>
              </w:r>
            </w:hyperlink>
          </w:p>
          <w:p w:rsidR="00010FD9" w:rsidRDefault="00010FD9">
            <w:pPr>
              <w:pStyle w:val="Obsah2"/>
              <w:rPr>
                <w:rFonts w:asciiTheme="minorHAnsi" w:eastAsiaTheme="minorEastAsia" w:hAnsiTheme="minorHAnsi" w:cstheme="minorBidi"/>
                <w:noProof/>
                <w:sz w:val="22"/>
                <w:szCs w:val="22"/>
                <w:lang w:val="en-US" w:eastAsia="en-US"/>
              </w:rPr>
            </w:pPr>
            <w:hyperlink w:anchor="_Toc175914428" w:history="1">
              <w:r w:rsidRPr="002B6C1C">
                <w:rPr>
                  <w:rStyle w:val="Hypertextovodkaz"/>
                  <w:noProof/>
                </w:rPr>
                <w:t>6.7</w:t>
              </w:r>
              <w:r>
                <w:rPr>
                  <w:rFonts w:asciiTheme="minorHAnsi" w:eastAsiaTheme="minorEastAsia" w:hAnsiTheme="minorHAnsi" w:cstheme="minorBidi"/>
                  <w:noProof/>
                  <w:sz w:val="22"/>
                  <w:szCs w:val="22"/>
                  <w:lang w:val="en-US" w:eastAsia="en-US"/>
                </w:rPr>
                <w:tab/>
              </w:r>
              <w:r w:rsidRPr="002B6C1C">
                <w:rPr>
                  <w:rStyle w:val="Hypertextovodkaz"/>
                  <w:noProof/>
                </w:rPr>
                <w:t>Úhrnná bilance státních fondů</w:t>
              </w:r>
              <w:r>
                <w:rPr>
                  <w:noProof/>
                  <w:webHidden/>
                </w:rPr>
                <w:tab/>
              </w:r>
              <w:r>
                <w:rPr>
                  <w:noProof/>
                  <w:webHidden/>
                </w:rPr>
                <w:fldChar w:fldCharType="begin"/>
              </w:r>
              <w:r>
                <w:rPr>
                  <w:noProof/>
                  <w:webHidden/>
                </w:rPr>
                <w:instrText xml:space="preserve"> PAGEREF _Toc175914428 \h </w:instrText>
              </w:r>
              <w:r>
                <w:rPr>
                  <w:noProof/>
                  <w:webHidden/>
                </w:rPr>
              </w:r>
              <w:r>
                <w:rPr>
                  <w:noProof/>
                  <w:webHidden/>
                </w:rPr>
                <w:fldChar w:fldCharType="separate"/>
              </w:r>
              <w:r>
                <w:rPr>
                  <w:noProof/>
                  <w:webHidden/>
                </w:rPr>
                <w:t>31</w:t>
              </w:r>
              <w:r>
                <w:rPr>
                  <w:noProof/>
                  <w:webHidden/>
                </w:rPr>
                <w:fldChar w:fldCharType="end"/>
              </w:r>
            </w:hyperlink>
          </w:p>
          <w:p w:rsidR="00010FD9" w:rsidRDefault="00010FD9">
            <w:pPr>
              <w:pStyle w:val="Obsah1"/>
              <w:rPr>
                <w:rFonts w:asciiTheme="minorHAnsi" w:eastAsiaTheme="minorEastAsia" w:hAnsiTheme="minorHAnsi" w:cstheme="minorBidi"/>
                <w:b w:val="0"/>
                <w:sz w:val="22"/>
                <w:szCs w:val="22"/>
                <w:lang w:val="en-US" w:eastAsia="en-US"/>
              </w:rPr>
            </w:pPr>
            <w:hyperlink w:anchor="_Toc175914429" w:history="1">
              <w:r w:rsidRPr="002B6C1C">
                <w:rPr>
                  <w:rStyle w:val="Hypertextovodkaz"/>
                </w:rPr>
                <w:t>7</w:t>
              </w:r>
              <w:r>
                <w:rPr>
                  <w:rFonts w:asciiTheme="minorHAnsi" w:eastAsiaTheme="minorEastAsia" w:hAnsiTheme="minorHAnsi" w:cstheme="minorBidi"/>
                  <w:b w:val="0"/>
                  <w:sz w:val="22"/>
                  <w:szCs w:val="22"/>
                  <w:lang w:val="en-US" w:eastAsia="en-US"/>
                </w:rPr>
                <w:tab/>
              </w:r>
              <w:r w:rsidRPr="002B6C1C">
                <w:rPr>
                  <w:rStyle w:val="Hypertextovodkaz"/>
                </w:rPr>
                <w:t>Výdaje na programy nebo projekty spolufinancované z rozpočtu Evropské unie</w:t>
              </w:r>
              <w:r>
                <w:rPr>
                  <w:webHidden/>
                </w:rPr>
                <w:tab/>
              </w:r>
              <w:r>
                <w:rPr>
                  <w:webHidden/>
                </w:rPr>
                <w:fldChar w:fldCharType="begin"/>
              </w:r>
              <w:r>
                <w:rPr>
                  <w:webHidden/>
                </w:rPr>
                <w:instrText xml:space="preserve"> PAGEREF _Toc175914429 \h </w:instrText>
              </w:r>
              <w:r>
                <w:rPr>
                  <w:webHidden/>
                </w:rPr>
              </w:r>
              <w:r>
                <w:rPr>
                  <w:webHidden/>
                </w:rPr>
                <w:fldChar w:fldCharType="separate"/>
              </w:r>
              <w:r>
                <w:rPr>
                  <w:webHidden/>
                </w:rPr>
                <w:t>32</w:t>
              </w:r>
              <w:r>
                <w:rPr>
                  <w:webHidden/>
                </w:rPr>
                <w:fldChar w:fldCharType="end"/>
              </w:r>
            </w:hyperlink>
          </w:p>
          <w:p w:rsidR="00010FD9" w:rsidRDefault="00010FD9">
            <w:pPr>
              <w:pStyle w:val="Obsah2"/>
              <w:rPr>
                <w:rFonts w:asciiTheme="minorHAnsi" w:eastAsiaTheme="minorEastAsia" w:hAnsiTheme="minorHAnsi" w:cstheme="minorBidi"/>
                <w:noProof/>
                <w:sz w:val="22"/>
                <w:szCs w:val="22"/>
                <w:lang w:val="en-US" w:eastAsia="en-US"/>
              </w:rPr>
            </w:pPr>
            <w:hyperlink w:anchor="_Toc175914430" w:history="1">
              <w:r w:rsidRPr="002B6C1C">
                <w:rPr>
                  <w:rStyle w:val="Hypertextovodkaz"/>
                  <w:noProof/>
                </w:rPr>
                <w:t>7.1</w:t>
              </w:r>
              <w:r>
                <w:rPr>
                  <w:rFonts w:asciiTheme="minorHAnsi" w:eastAsiaTheme="minorEastAsia" w:hAnsiTheme="minorHAnsi" w:cstheme="minorBidi"/>
                  <w:noProof/>
                  <w:sz w:val="22"/>
                  <w:szCs w:val="22"/>
                  <w:lang w:val="en-US" w:eastAsia="en-US"/>
                </w:rPr>
                <w:tab/>
              </w:r>
              <w:r w:rsidRPr="002B6C1C">
                <w:rPr>
                  <w:rStyle w:val="Hypertextovodkaz"/>
                  <w:noProof/>
                </w:rPr>
                <w:t>Výdaje na operační programy programového období 2007-2013</w:t>
              </w:r>
              <w:r>
                <w:rPr>
                  <w:noProof/>
                  <w:webHidden/>
                </w:rPr>
                <w:tab/>
              </w:r>
              <w:r>
                <w:rPr>
                  <w:noProof/>
                  <w:webHidden/>
                </w:rPr>
                <w:fldChar w:fldCharType="begin"/>
              </w:r>
              <w:r>
                <w:rPr>
                  <w:noProof/>
                  <w:webHidden/>
                </w:rPr>
                <w:instrText xml:space="preserve"> PAGEREF _Toc175914430 \h </w:instrText>
              </w:r>
              <w:r>
                <w:rPr>
                  <w:noProof/>
                  <w:webHidden/>
                </w:rPr>
              </w:r>
              <w:r>
                <w:rPr>
                  <w:noProof/>
                  <w:webHidden/>
                </w:rPr>
                <w:fldChar w:fldCharType="separate"/>
              </w:r>
              <w:r>
                <w:rPr>
                  <w:noProof/>
                  <w:webHidden/>
                </w:rPr>
                <w:t>32</w:t>
              </w:r>
              <w:r>
                <w:rPr>
                  <w:noProof/>
                  <w:webHidden/>
                </w:rPr>
                <w:fldChar w:fldCharType="end"/>
              </w:r>
            </w:hyperlink>
          </w:p>
          <w:p w:rsidR="00010FD9" w:rsidRDefault="00010FD9">
            <w:pPr>
              <w:pStyle w:val="Obsah2"/>
              <w:rPr>
                <w:rFonts w:asciiTheme="minorHAnsi" w:eastAsiaTheme="minorEastAsia" w:hAnsiTheme="minorHAnsi" w:cstheme="minorBidi"/>
                <w:noProof/>
                <w:sz w:val="22"/>
                <w:szCs w:val="22"/>
                <w:lang w:val="en-US" w:eastAsia="en-US"/>
              </w:rPr>
            </w:pPr>
            <w:hyperlink w:anchor="_Toc175914431" w:history="1">
              <w:r w:rsidRPr="002B6C1C">
                <w:rPr>
                  <w:rStyle w:val="Hypertextovodkaz"/>
                  <w:noProof/>
                </w:rPr>
                <w:t>7.2</w:t>
              </w:r>
              <w:r>
                <w:rPr>
                  <w:rFonts w:asciiTheme="minorHAnsi" w:eastAsiaTheme="minorEastAsia" w:hAnsiTheme="minorHAnsi" w:cstheme="minorBidi"/>
                  <w:noProof/>
                  <w:sz w:val="22"/>
                  <w:szCs w:val="22"/>
                  <w:lang w:val="en-US" w:eastAsia="en-US"/>
                </w:rPr>
                <w:tab/>
              </w:r>
              <w:r w:rsidRPr="002B6C1C">
                <w:rPr>
                  <w:rStyle w:val="Hypertextovodkaz"/>
                  <w:noProof/>
                </w:rPr>
                <w:t>Výdaje na operační programy programového období 2014-2020</w:t>
              </w:r>
              <w:r>
                <w:rPr>
                  <w:noProof/>
                  <w:webHidden/>
                </w:rPr>
                <w:tab/>
              </w:r>
              <w:r>
                <w:rPr>
                  <w:noProof/>
                  <w:webHidden/>
                </w:rPr>
                <w:fldChar w:fldCharType="begin"/>
              </w:r>
              <w:r>
                <w:rPr>
                  <w:noProof/>
                  <w:webHidden/>
                </w:rPr>
                <w:instrText xml:space="preserve"> PAGEREF _Toc175914431 \h </w:instrText>
              </w:r>
              <w:r>
                <w:rPr>
                  <w:noProof/>
                  <w:webHidden/>
                </w:rPr>
              </w:r>
              <w:r>
                <w:rPr>
                  <w:noProof/>
                  <w:webHidden/>
                </w:rPr>
                <w:fldChar w:fldCharType="separate"/>
              </w:r>
              <w:r>
                <w:rPr>
                  <w:noProof/>
                  <w:webHidden/>
                </w:rPr>
                <w:t>32</w:t>
              </w:r>
              <w:r>
                <w:rPr>
                  <w:noProof/>
                  <w:webHidden/>
                </w:rPr>
                <w:fldChar w:fldCharType="end"/>
              </w:r>
            </w:hyperlink>
          </w:p>
          <w:p w:rsidR="00010FD9" w:rsidRDefault="00010FD9">
            <w:pPr>
              <w:pStyle w:val="Obsah2"/>
              <w:rPr>
                <w:rFonts w:asciiTheme="minorHAnsi" w:eastAsiaTheme="minorEastAsia" w:hAnsiTheme="minorHAnsi" w:cstheme="minorBidi"/>
                <w:noProof/>
                <w:sz w:val="22"/>
                <w:szCs w:val="22"/>
                <w:lang w:val="en-US" w:eastAsia="en-US"/>
              </w:rPr>
            </w:pPr>
            <w:hyperlink w:anchor="_Toc175914432" w:history="1">
              <w:r w:rsidRPr="002B6C1C">
                <w:rPr>
                  <w:rStyle w:val="Hypertextovodkaz"/>
                  <w:noProof/>
                </w:rPr>
                <w:t>7.3</w:t>
              </w:r>
              <w:r>
                <w:rPr>
                  <w:rFonts w:asciiTheme="minorHAnsi" w:eastAsiaTheme="minorEastAsia" w:hAnsiTheme="minorHAnsi" w:cstheme="minorBidi"/>
                  <w:noProof/>
                  <w:sz w:val="22"/>
                  <w:szCs w:val="22"/>
                  <w:lang w:val="en-US" w:eastAsia="en-US"/>
                </w:rPr>
                <w:tab/>
              </w:r>
              <w:r w:rsidRPr="002B6C1C">
                <w:rPr>
                  <w:rStyle w:val="Hypertextovodkaz"/>
                  <w:noProof/>
                </w:rPr>
                <w:t>Výdaje na programy programového období 2021-2027</w:t>
              </w:r>
              <w:r>
                <w:rPr>
                  <w:noProof/>
                  <w:webHidden/>
                </w:rPr>
                <w:tab/>
              </w:r>
              <w:r>
                <w:rPr>
                  <w:noProof/>
                  <w:webHidden/>
                </w:rPr>
                <w:fldChar w:fldCharType="begin"/>
              </w:r>
              <w:r>
                <w:rPr>
                  <w:noProof/>
                  <w:webHidden/>
                </w:rPr>
                <w:instrText xml:space="preserve"> PAGEREF _Toc175914432 \h </w:instrText>
              </w:r>
              <w:r>
                <w:rPr>
                  <w:noProof/>
                  <w:webHidden/>
                </w:rPr>
              </w:r>
              <w:r>
                <w:rPr>
                  <w:noProof/>
                  <w:webHidden/>
                </w:rPr>
                <w:fldChar w:fldCharType="separate"/>
              </w:r>
              <w:r>
                <w:rPr>
                  <w:noProof/>
                  <w:webHidden/>
                </w:rPr>
                <w:t>33</w:t>
              </w:r>
              <w:r>
                <w:rPr>
                  <w:noProof/>
                  <w:webHidden/>
                </w:rPr>
                <w:fldChar w:fldCharType="end"/>
              </w:r>
            </w:hyperlink>
          </w:p>
          <w:p w:rsidR="00010FD9" w:rsidRDefault="00010FD9">
            <w:pPr>
              <w:pStyle w:val="Obsah2"/>
              <w:rPr>
                <w:rFonts w:asciiTheme="minorHAnsi" w:eastAsiaTheme="minorEastAsia" w:hAnsiTheme="minorHAnsi" w:cstheme="minorBidi"/>
                <w:noProof/>
                <w:sz w:val="22"/>
                <w:szCs w:val="22"/>
                <w:lang w:val="en-US" w:eastAsia="en-US"/>
              </w:rPr>
            </w:pPr>
            <w:hyperlink w:anchor="_Toc175914433" w:history="1">
              <w:r w:rsidRPr="002B6C1C">
                <w:rPr>
                  <w:rStyle w:val="Hypertextovodkaz"/>
                  <w:noProof/>
                </w:rPr>
                <w:t>7.4</w:t>
              </w:r>
              <w:r>
                <w:rPr>
                  <w:rFonts w:asciiTheme="minorHAnsi" w:eastAsiaTheme="minorEastAsia" w:hAnsiTheme="minorHAnsi" w:cstheme="minorBidi"/>
                  <w:noProof/>
                  <w:sz w:val="22"/>
                  <w:szCs w:val="22"/>
                  <w:lang w:val="en-US" w:eastAsia="en-US"/>
                </w:rPr>
                <w:tab/>
              </w:r>
              <w:r w:rsidRPr="002B6C1C">
                <w:rPr>
                  <w:rStyle w:val="Hypertextovodkaz"/>
                  <w:noProof/>
                </w:rPr>
                <w:t>Výdaje na Společnou zemědělskou politiku 2014-2022</w:t>
              </w:r>
              <w:r>
                <w:rPr>
                  <w:noProof/>
                  <w:webHidden/>
                </w:rPr>
                <w:tab/>
              </w:r>
              <w:r>
                <w:rPr>
                  <w:noProof/>
                  <w:webHidden/>
                </w:rPr>
                <w:fldChar w:fldCharType="begin"/>
              </w:r>
              <w:r>
                <w:rPr>
                  <w:noProof/>
                  <w:webHidden/>
                </w:rPr>
                <w:instrText xml:space="preserve"> PAGEREF _Toc175914433 \h </w:instrText>
              </w:r>
              <w:r>
                <w:rPr>
                  <w:noProof/>
                  <w:webHidden/>
                </w:rPr>
              </w:r>
              <w:r>
                <w:rPr>
                  <w:noProof/>
                  <w:webHidden/>
                </w:rPr>
                <w:fldChar w:fldCharType="separate"/>
              </w:r>
              <w:r>
                <w:rPr>
                  <w:noProof/>
                  <w:webHidden/>
                </w:rPr>
                <w:t>33</w:t>
              </w:r>
              <w:r>
                <w:rPr>
                  <w:noProof/>
                  <w:webHidden/>
                </w:rPr>
                <w:fldChar w:fldCharType="end"/>
              </w:r>
            </w:hyperlink>
          </w:p>
          <w:p w:rsidR="00010FD9" w:rsidRDefault="00010FD9">
            <w:pPr>
              <w:pStyle w:val="Obsah2"/>
              <w:rPr>
                <w:rFonts w:asciiTheme="minorHAnsi" w:eastAsiaTheme="minorEastAsia" w:hAnsiTheme="minorHAnsi" w:cstheme="minorBidi"/>
                <w:noProof/>
                <w:sz w:val="22"/>
                <w:szCs w:val="22"/>
                <w:lang w:val="en-US" w:eastAsia="en-US"/>
              </w:rPr>
            </w:pPr>
            <w:hyperlink w:anchor="_Toc175914434" w:history="1">
              <w:r w:rsidRPr="002B6C1C">
                <w:rPr>
                  <w:rStyle w:val="Hypertextovodkaz"/>
                  <w:noProof/>
                </w:rPr>
                <w:t>7.5</w:t>
              </w:r>
              <w:r>
                <w:rPr>
                  <w:rFonts w:asciiTheme="minorHAnsi" w:eastAsiaTheme="minorEastAsia" w:hAnsiTheme="minorHAnsi" w:cstheme="minorBidi"/>
                  <w:noProof/>
                  <w:sz w:val="22"/>
                  <w:szCs w:val="22"/>
                  <w:lang w:val="en-US" w:eastAsia="en-US"/>
                </w:rPr>
                <w:tab/>
              </w:r>
              <w:r w:rsidRPr="002B6C1C">
                <w:rPr>
                  <w:rStyle w:val="Hypertextovodkaz"/>
                  <w:noProof/>
                </w:rPr>
                <w:t>Výdaje na Společnou zemědělskou politiku v období 2023-2027</w:t>
              </w:r>
              <w:r>
                <w:rPr>
                  <w:noProof/>
                  <w:webHidden/>
                </w:rPr>
                <w:tab/>
              </w:r>
              <w:r>
                <w:rPr>
                  <w:noProof/>
                  <w:webHidden/>
                </w:rPr>
                <w:fldChar w:fldCharType="begin"/>
              </w:r>
              <w:r>
                <w:rPr>
                  <w:noProof/>
                  <w:webHidden/>
                </w:rPr>
                <w:instrText xml:space="preserve"> PAGEREF _Toc175914434 \h </w:instrText>
              </w:r>
              <w:r>
                <w:rPr>
                  <w:noProof/>
                  <w:webHidden/>
                </w:rPr>
              </w:r>
              <w:r>
                <w:rPr>
                  <w:noProof/>
                  <w:webHidden/>
                </w:rPr>
                <w:fldChar w:fldCharType="separate"/>
              </w:r>
              <w:r>
                <w:rPr>
                  <w:noProof/>
                  <w:webHidden/>
                </w:rPr>
                <w:t>34</w:t>
              </w:r>
              <w:r>
                <w:rPr>
                  <w:noProof/>
                  <w:webHidden/>
                </w:rPr>
                <w:fldChar w:fldCharType="end"/>
              </w:r>
            </w:hyperlink>
          </w:p>
          <w:p w:rsidR="00010FD9" w:rsidRDefault="00010FD9">
            <w:pPr>
              <w:pStyle w:val="Obsah1"/>
              <w:rPr>
                <w:rFonts w:asciiTheme="minorHAnsi" w:eastAsiaTheme="minorEastAsia" w:hAnsiTheme="minorHAnsi" w:cstheme="minorBidi"/>
                <w:b w:val="0"/>
                <w:sz w:val="22"/>
                <w:szCs w:val="22"/>
                <w:lang w:val="en-US" w:eastAsia="en-US"/>
              </w:rPr>
            </w:pPr>
            <w:hyperlink w:anchor="_Toc175914435" w:history="1">
              <w:r w:rsidRPr="002B6C1C">
                <w:rPr>
                  <w:rStyle w:val="Hypertextovodkaz"/>
                </w:rPr>
                <w:t>8</w:t>
              </w:r>
              <w:r>
                <w:rPr>
                  <w:rFonts w:asciiTheme="minorHAnsi" w:eastAsiaTheme="minorEastAsia" w:hAnsiTheme="minorHAnsi" w:cstheme="minorBidi"/>
                  <w:b w:val="0"/>
                  <w:sz w:val="22"/>
                  <w:szCs w:val="22"/>
                  <w:lang w:val="en-US" w:eastAsia="en-US"/>
                </w:rPr>
                <w:tab/>
              </w:r>
              <w:r w:rsidRPr="002B6C1C">
                <w:rPr>
                  <w:rStyle w:val="Hypertextovodkaz"/>
                </w:rPr>
                <w:t>Výdaje na finanční mechanismy EHP/Norska</w:t>
              </w:r>
              <w:r>
                <w:rPr>
                  <w:webHidden/>
                </w:rPr>
                <w:tab/>
              </w:r>
              <w:r>
                <w:rPr>
                  <w:webHidden/>
                </w:rPr>
                <w:fldChar w:fldCharType="begin"/>
              </w:r>
              <w:r>
                <w:rPr>
                  <w:webHidden/>
                </w:rPr>
                <w:instrText xml:space="preserve"> PAGEREF _Toc175914435 \h </w:instrText>
              </w:r>
              <w:r>
                <w:rPr>
                  <w:webHidden/>
                </w:rPr>
              </w:r>
              <w:r>
                <w:rPr>
                  <w:webHidden/>
                </w:rPr>
                <w:fldChar w:fldCharType="separate"/>
              </w:r>
              <w:r>
                <w:rPr>
                  <w:webHidden/>
                </w:rPr>
                <w:t>35</w:t>
              </w:r>
              <w:r>
                <w:rPr>
                  <w:webHidden/>
                </w:rPr>
                <w:fldChar w:fldCharType="end"/>
              </w:r>
            </w:hyperlink>
          </w:p>
          <w:p w:rsidR="00010FD9" w:rsidRDefault="00010FD9">
            <w:pPr>
              <w:pStyle w:val="Obsah1"/>
              <w:rPr>
                <w:rFonts w:asciiTheme="minorHAnsi" w:eastAsiaTheme="minorEastAsia" w:hAnsiTheme="minorHAnsi" w:cstheme="minorBidi"/>
                <w:b w:val="0"/>
                <w:sz w:val="22"/>
                <w:szCs w:val="22"/>
                <w:lang w:val="en-US" w:eastAsia="en-US"/>
              </w:rPr>
            </w:pPr>
            <w:hyperlink w:anchor="_Toc175914436" w:history="1">
              <w:r w:rsidRPr="002B6C1C">
                <w:rPr>
                  <w:rStyle w:val="Hypertextovodkaz"/>
                </w:rPr>
                <w:t>9</w:t>
              </w:r>
              <w:r>
                <w:rPr>
                  <w:rFonts w:asciiTheme="minorHAnsi" w:eastAsiaTheme="minorEastAsia" w:hAnsiTheme="minorHAnsi" w:cstheme="minorBidi"/>
                  <w:b w:val="0"/>
                  <w:sz w:val="22"/>
                  <w:szCs w:val="22"/>
                  <w:lang w:val="en-US" w:eastAsia="en-US"/>
                </w:rPr>
                <w:tab/>
              </w:r>
              <w:r w:rsidRPr="002B6C1C">
                <w:rPr>
                  <w:rStyle w:val="Hypertextovodkaz"/>
                </w:rPr>
                <w:t>Výdaje na programy, u nichž výši účasti státního rozpočtu na jejich financování schválila vláda</w:t>
              </w:r>
              <w:r>
                <w:rPr>
                  <w:webHidden/>
                </w:rPr>
                <w:tab/>
              </w:r>
              <w:r>
                <w:rPr>
                  <w:webHidden/>
                </w:rPr>
                <w:fldChar w:fldCharType="begin"/>
              </w:r>
              <w:r>
                <w:rPr>
                  <w:webHidden/>
                </w:rPr>
                <w:instrText xml:space="preserve"> PAGEREF _Toc175914436 \h </w:instrText>
              </w:r>
              <w:r>
                <w:rPr>
                  <w:webHidden/>
                </w:rPr>
              </w:r>
              <w:r>
                <w:rPr>
                  <w:webHidden/>
                </w:rPr>
                <w:fldChar w:fldCharType="separate"/>
              </w:r>
              <w:r>
                <w:rPr>
                  <w:webHidden/>
                </w:rPr>
                <w:t>36</w:t>
              </w:r>
              <w:r>
                <w:rPr>
                  <w:webHidden/>
                </w:rPr>
                <w:fldChar w:fldCharType="end"/>
              </w:r>
            </w:hyperlink>
          </w:p>
          <w:p w:rsidR="00010FD9" w:rsidRDefault="00010FD9">
            <w:pPr>
              <w:pStyle w:val="Obsah1"/>
              <w:rPr>
                <w:rFonts w:asciiTheme="minorHAnsi" w:eastAsiaTheme="minorEastAsia" w:hAnsiTheme="minorHAnsi" w:cstheme="minorBidi"/>
                <w:b w:val="0"/>
                <w:sz w:val="22"/>
                <w:szCs w:val="22"/>
                <w:lang w:val="en-US" w:eastAsia="en-US"/>
              </w:rPr>
            </w:pPr>
            <w:hyperlink w:anchor="_Toc175914437" w:history="1">
              <w:r w:rsidRPr="002B6C1C">
                <w:rPr>
                  <w:rStyle w:val="Hypertextovodkaz"/>
                </w:rPr>
                <w:t>10</w:t>
              </w:r>
              <w:r>
                <w:rPr>
                  <w:rFonts w:asciiTheme="minorHAnsi" w:eastAsiaTheme="minorEastAsia" w:hAnsiTheme="minorHAnsi" w:cstheme="minorBidi"/>
                  <w:b w:val="0"/>
                  <w:sz w:val="22"/>
                  <w:szCs w:val="22"/>
                  <w:lang w:val="en-US" w:eastAsia="en-US"/>
                </w:rPr>
                <w:tab/>
              </w:r>
              <w:r w:rsidRPr="002B6C1C">
                <w:rPr>
                  <w:rStyle w:val="Hypertextovodkaz"/>
                </w:rPr>
                <w:t>Přehled závazků fyzických a právnických osob, za které se zaručily jménem státu jeho organizační složky</w:t>
              </w:r>
              <w:r>
                <w:rPr>
                  <w:webHidden/>
                </w:rPr>
                <w:tab/>
              </w:r>
              <w:r>
                <w:rPr>
                  <w:webHidden/>
                </w:rPr>
                <w:fldChar w:fldCharType="begin"/>
              </w:r>
              <w:r>
                <w:rPr>
                  <w:webHidden/>
                </w:rPr>
                <w:instrText xml:space="preserve"> PAGEREF _Toc175914437 \h </w:instrText>
              </w:r>
              <w:r>
                <w:rPr>
                  <w:webHidden/>
                </w:rPr>
              </w:r>
              <w:r>
                <w:rPr>
                  <w:webHidden/>
                </w:rPr>
                <w:fldChar w:fldCharType="separate"/>
              </w:r>
              <w:r>
                <w:rPr>
                  <w:webHidden/>
                </w:rPr>
                <w:t>37</w:t>
              </w:r>
              <w:r>
                <w:rPr>
                  <w:webHidden/>
                </w:rPr>
                <w:fldChar w:fldCharType="end"/>
              </w:r>
            </w:hyperlink>
          </w:p>
          <w:p w:rsidR="00010FD9" w:rsidRDefault="00010FD9">
            <w:pPr>
              <w:pStyle w:val="Obsah1"/>
              <w:rPr>
                <w:rFonts w:asciiTheme="minorHAnsi" w:eastAsiaTheme="minorEastAsia" w:hAnsiTheme="minorHAnsi" w:cstheme="minorBidi"/>
                <w:b w:val="0"/>
                <w:sz w:val="22"/>
                <w:szCs w:val="22"/>
                <w:lang w:val="en-US" w:eastAsia="en-US"/>
              </w:rPr>
            </w:pPr>
            <w:hyperlink w:anchor="_Toc175914438" w:history="1">
              <w:r w:rsidRPr="002B6C1C">
                <w:rPr>
                  <w:rStyle w:val="Hypertextovodkaz"/>
                </w:rPr>
                <w:t>11</w:t>
              </w:r>
              <w:r>
                <w:rPr>
                  <w:rFonts w:asciiTheme="minorHAnsi" w:eastAsiaTheme="minorEastAsia" w:hAnsiTheme="minorHAnsi" w:cstheme="minorBidi"/>
                  <w:b w:val="0"/>
                  <w:sz w:val="22"/>
                  <w:szCs w:val="22"/>
                  <w:lang w:val="en-US" w:eastAsia="en-US"/>
                </w:rPr>
                <w:tab/>
              </w:r>
              <w:r w:rsidRPr="002B6C1C">
                <w:rPr>
                  <w:rStyle w:val="Hypertextovodkaz"/>
                </w:rPr>
                <w:t>Vývoj státního dluhu, příjmů a výdajů kapitoly Státní dluh</w:t>
              </w:r>
              <w:r>
                <w:rPr>
                  <w:webHidden/>
                </w:rPr>
                <w:tab/>
              </w:r>
              <w:r>
                <w:rPr>
                  <w:webHidden/>
                </w:rPr>
                <w:fldChar w:fldCharType="begin"/>
              </w:r>
              <w:r>
                <w:rPr>
                  <w:webHidden/>
                </w:rPr>
                <w:instrText xml:space="preserve"> PAGEREF _Toc175914438 \h </w:instrText>
              </w:r>
              <w:r>
                <w:rPr>
                  <w:webHidden/>
                </w:rPr>
              </w:r>
              <w:r>
                <w:rPr>
                  <w:webHidden/>
                </w:rPr>
                <w:fldChar w:fldCharType="separate"/>
              </w:r>
              <w:r>
                <w:rPr>
                  <w:webHidden/>
                </w:rPr>
                <w:t>38</w:t>
              </w:r>
              <w:r>
                <w:rPr>
                  <w:webHidden/>
                </w:rPr>
                <w:fldChar w:fldCharType="end"/>
              </w:r>
            </w:hyperlink>
          </w:p>
          <w:p w:rsidR="00010FD9" w:rsidRDefault="00010FD9">
            <w:pPr>
              <w:pStyle w:val="Obsah1"/>
              <w:rPr>
                <w:rFonts w:asciiTheme="minorHAnsi" w:eastAsiaTheme="minorEastAsia" w:hAnsiTheme="minorHAnsi" w:cstheme="minorBidi"/>
                <w:b w:val="0"/>
                <w:sz w:val="22"/>
                <w:szCs w:val="22"/>
                <w:lang w:val="en-US" w:eastAsia="en-US"/>
              </w:rPr>
            </w:pPr>
            <w:hyperlink w:anchor="_Toc175914439" w:history="1">
              <w:r w:rsidRPr="002B6C1C">
                <w:rPr>
                  <w:rStyle w:val="Hypertextovodkaz"/>
                </w:rPr>
                <w:t>12</w:t>
              </w:r>
              <w:r>
                <w:rPr>
                  <w:rFonts w:asciiTheme="minorHAnsi" w:eastAsiaTheme="minorEastAsia" w:hAnsiTheme="minorHAnsi" w:cstheme="minorBidi"/>
                  <w:b w:val="0"/>
                  <w:sz w:val="22"/>
                  <w:szCs w:val="22"/>
                  <w:lang w:val="en-US" w:eastAsia="en-US"/>
                </w:rPr>
                <w:tab/>
              </w:r>
              <w:r w:rsidRPr="002B6C1C">
                <w:rPr>
                  <w:rStyle w:val="Hypertextovodkaz"/>
                </w:rPr>
                <w:t>Závazky státu vyplývající z víceletých významných veřejných zakázek a z koncesních smluv</w:t>
              </w:r>
              <w:r>
                <w:rPr>
                  <w:webHidden/>
                </w:rPr>
                <w:tab/>
              </w:r>
              <w:r>
                <w:rPr>
                  <w:webHidden/>
                </w:rPr>
                <w:fldChar w:fldCharType="begin"/>
              </w:r>
              <w:r>
                <w:rPr>
                  <w:webHidden/>
                </w:rPr>
                <w:instrText xml:space="preserve"> PAGEREF _Toc175914439 \h </w:instrText>
              </w:r>
              <w:r>
                <w:rPr>
                  <w:webHidden/>
                </w:rPr>
              </w:r>
              <w:r>
                <w:rPr>
                  <w:webHidden/>
                </w:rPr>
                <w:fldChar w:fldCharType="separate"/>
              </w:r>
              <w:r>
                <w:rPr>
                  <w:webHidden/>
                </w:rPr>
                <w:t>40</w:t>
              </w:r>
              <w:r>
                <w:rPr>
                  <w:webHidden/>
                </w:rPr>
                <w:fldChar w:fldCharType="end"/>
              </w:r>
            </w:hyperlink>
          </w:p>
          <w:p w:rsidR="00010FD9" w:rsidRDefault="00010FD9">
            <w:pPr>
              <w:pStyle w:val="Obsah1"/>
              <w:rPr>
                <w:rFonts w:asciiTheme="minorHAnsi" w:eastAsiaTheme="minorEastAsia" w:hAnsiTheme="minorHAnsi" w:cstheme="minorBidi"/>
                <w:b w:val="0"/>
                <w:sz w:val="22"/>
                <w:szCs w:val="22"/>
                <w:lang w:val="en-US" w:eastAsia="en-US"/>
              </w:rPr>
            </w:pPr>
            <w:hyperlink w:anchor="_Toc175914440" w:history="1">
              <w:r w:rsidRPr="002B6C1C">
                <w:rPr>
                  <w:rStyle w:val="Hypertextovodkaz"/>
                </w:rPr>
                <w:t>13</w:t>
              </w:r>
              <w:r>
                <w:rPr>
                  <w:rFonts w:asciiTheme="minorHAnsi" w:eastAsiaTheme="minorEastAsia" w:hAnsiTheme="minorHAnsi" w:cstheme="minorBidi"/>
                  <w:b w:val="0"/>
                  <w:sz w:val="22"/>
                  <w:szCs w:val="22"/>
                  <w:lang w:val="en-US" w:eastAsia="en-US"/>
                </w:rPr>
                <w:tab/>
              </w:r>
              <w:r w:rsidRPr="002B6C1C">
                <w:rPr>
                  <w:rStyle w:val="Hypertextovodkaz"/>
                </w:rPr>
                <w:t>Tabulková část</w:t>
              </w:r>
              <w:r>
                <w:rPr>
                  <w:webHidden/>
                </w:rPr>
                <w:tab/>
              </w:r>
              <w:r>
                <w:rPr>
                  <w:webHidden/>
                </w:rPr>
                <w:fldChar w:fldCharType="begin"/>
              </w:r>
              <w:r>
                <w:rPr>
                  <w:webHidden/>
                </w:rPr>
                <w:instrText xml:space="preserve"> PAGEREF _Toc175914440 \h </w:instrText>
              </w:r>
              <w:r>
                <w:rPr>
                  <w:webHidden/>
                </w:rPr>
              </w:r>
              <w:r>
                <w:rPr>
                  <w:webHidden/>
                </w:rPr>
                <w:fldChar w:fldCharType="separate"/>
              </w:r>
              <w:r>
                <w:rPr>
                  <w:webHidden/>
                </w:rPr>
                <w:t>41</w:t>
              </w:r>
              <w:r>
                <w:rPr>
                  <w:webHidden/>
                </w:rPr>
                <w:fldChar w:fldCharType="end"/>
              </w:r>
            </w:hyperlink>
          </w:p>
          <w:p w:rsidR="00332D4D" w:rsidRPr="003B10C6" w:rsidRDefault="00332D4D" w:rsidP="00BA4BBC">
            <w:r w:rsidRPr="003B10C6">
              <w:rPr>
                <w:noProof/>
              </w:rPr>
              <w:fldChar w:fldCharType="end"/>
            </w:r>
          </w:p>
        </w:tc>
      </w:tr>
    </w:tbl>
    <w:p w:rsidR="009778E2" w:rsidRDefault="009778E2" w:rsidP="00332D4D">
      <w:pPr>
        <w:pStyle w:val="Nadpismal"/>
        <w:spacing w:before="0"/>
        <w:sectPr w:rsidR="009778E2" w:rsidSect="007A1923">
          <w:headerReference w:type="default" r:id="rId12"/>
          <w:footerReference w:type="default" r:id="rId13"/>
          <w:type w:val="oddPage"/>
          <w:pgSz w:w="11906" w:h="16838" w:code="9"/>
          <w:pgMar w:top="1134" w:right="1134" w:bottom="1418" w:left="1134" w:header="709" w:footer="709" w:gutter="0"/>
          <w:pgNumType w:start="1"/>
          <w:cols w:space="709"/>
          <w:docGrid w:linePitch="360"/>
        </w:sectPr>
      </w:pPr>
    </w:p>
    <w:p w:rsidR="00AB13CE" w:rsidRDefault="00AB13CE" w:rsidP="00332D4D">
      <w:pPr>
        <w:pStyle w:val="Nadpismal"/>
        <w:spacing w:before="0"/>
      </w:pPr>
      <w:r>
        <w:br w:type="page"/>
      </w:r>
    </w:p>
    <w:p w:rsidR="00332D4D" w:rsidRPr="00703196" w:rsidRDefault="00332D4D" w:rsidP="00332D4D">
      <w:pPr>
        <w:pStyle w:val="Nadpismal"/>
        <w:spacing w:before="0"/>
      </w:pPr>
      <w:r w:rsidRPr="00703196">
        <w:lastRenderedPageBreak/>
        <w:t>Seznam tabulek</w:t>
      </w:r>
    </w:p>
    <w:p w:rsidR="00010FD9" w:rsidRDefault="00332D4D">
      <w:pPr>
        <w:pStyle w:val="Seznamobrzk"/>
        <w:rPr>
          <w:rFonts w:asciiTheme="minorHAnsi" w:eastAsiaTheme="minorEastAsia" w:hAnsiTheme="minorHAnsi" w:cstheme="minorBidi"/>
          <w:noProof/>
          <w:sz w:val="22"/>
          <w:szCs w:val="22"/>
          <w:lang w:val="en-US" w:eastAsia="en-US"/>
        </w:rPr>
      </w:pPr>
      <w:r w:rsidRPr="00703196">
        <w:rPr>
          <w:noProof/>
        </w:rPr>
        <w:fldChar w:fldCharType="begin"/>
      </w:r>
      <w:r w:rsidRPr="00703196">
        <w:rPr>
          <w:noProof/>
        </w:rPr>
        <w:instrText xml:space="preserve"> TOC \h \z \c "Tabulka" </w:instrText>
      </w:r>
      <w:r w:rsidRPr="00703196">
        <w:rPr>
          <w:noProof/>
        </w:rPr>
        <w:fldChar w:fldCharType="separate"/>
      </w:r>
      <w:hyperlink w:anchor="_Toc175914441" w:history="1">
        <w:r w:rsidR="00010FD9" w:rsidRPr="005730FB">
          <w:rPr>
            <w:rStyle w:val="Hypertextovodkaz"/>
            <w:noProof/>
          </w:rPr>
          <w:t>Tabulka 1 Predikce základních makroekonomických indikátorů</w:t>
        </w:r>
        <w:r w:rsidR="00010FD9">
          <w:rPr>
            <w:noProof/>
            <w:webHidden/>
          </w:rPr>
          <w:tab/>
        </w:r>
        <w:r w:rsidR="00010FD9">
          <w:rPr>
            <w:noProof/>
            <w:webHidden/>
          </w:rPr>
          <w:fldChar w:fldCharType="begin"/>
        </w:r>
        <w:r w:rsidR="00010FD9">
          <w:rPr>
            <w:noProof/>
            <w:webHidden/>
          </w:rPr>
          <w:instrText xml:space="preserve"> PAGEREF _Toc175914441 \h </w:instrText>
        </w:r>
        <w:r w:rsidR="00010FD9">
          <w:rPr>
            <w:noProof/>
            <w:webHidden/>
          </w:rPr>
        </w:r>
        <w:r w:rsidR="00010FD9">
          <w:rPr>
            <w:noProof/>
            <w:webHidden/>
          </w:rPr>
          <w:fldChar w:fldCharType="separate"/>
        </w:r>
        <w:r w:rsidR="00010FD9">
          <w:rPr>
            <w:noProof/>
            <w:webHidden/>
          </w:rPr>
          <w:t>1</w:t>
        </w:r>
        <w:r w:rsidR="00010FD9">
          <w:rPr>
            <w:noProof/>
            <w:webHidden/>
          </w:rPr>
          <w:fldChar w:fldCharType="end"/>
        </w:r>
      </w:hyperlink>
    </w:p>
    <w:p w:rsidR="00010FD9" w:rsidRDefault="00010FD9">
      <w:pPr>
        <w:pStyle w:val="Seznamobrzk"/>
        <w:rPr>
          <w:rFonts w:asciiTheme="minorHAnsi" w:eastAsiaTheme="minorEastAsia" w:hAnsiTheme="minorHAnsi" w:cstheme="minorBidi"/>
          <w:noProof/>
          <w:sz w:val="22"/>
          <w:szCs w:val="22"/>
          <w:lang w:val="en-US" w:eastAsia="en-US"/>
        </w:rPr>
      </w:pPr>
      <w:hyperlink w:anchor="_Toc175914442" w:history="1">
        <w:r w:rsidRPr="005730FB">
          <w:rPr>
            <w:rStyle w:val="Hypertextovodkaz"/>
            <w:noProof/>
          </w:rPr>
          <w:t>Tabulka 2 Ověření makroekonomického rámce nezávislými prognózami</w:t>
        </w:r>
        <w:r>
          <w:rPr>
            <w:noProof/>
            <w:webHidden/>
          </w:rPr>
          <w:tab/>
        </w:r>
        <w:r>
          <w:rPr>
            <w:noProof/>
            <w:webHidden/>
          </w:rPr>
          <w:fldChar w:fldCharType="begin"/>
        </w:r>
        <w:r>
          <w:rPr>
            <w:noProof/>
            <w:webHidden/>
          </w:rPr>
          <w:instrText xml:space="preserve"> PAGEREF _Toc175914442 \h </w:instrText>
        </w:r>
        <w:r>
          <w:rPr>
            <w:noProof/>
            <w:webHidden/>
          </w:rPr>
        </w:r>
        <w:r>
          <w:rPr>
            <w:noProof/>
            <w:webHidden/>
          </w:rPr>
          <w:fldChar w:fldCharType="separate"/>
        </w:r>
        <w:r>
          <w:rPr>
            <w:noProof/>
            <w:webHidden/>
          </w:rPr>
          <w:t>7</w:t>
        </w:r>
        <w:r>
          <w:rPr>
            <w:noProof/>
            <w:webHidden/>
          </w:rPr>
          <w:fldChar w:fldCharType="end"/>
        </w:r>
      </w:hyperlink>
    </w:p>
    <w:p w:rsidR="00010FD9" w:rsidRDefault="00010FD9">
      <w:pPr>
        <w:pStyle w:val="Seznamobrzk"/>
        <w:rPr>
          <w:rFonts w:asciiTheme="minorHAnsi" w:eastAsiaTheme="minorEastAsia" w:hAnsiTheme="minorHAnsi" w:cstheme="minorBidi"/>
          <w:noProof/>
          <w:sz w:val="22"/>
          <w:szCs w:val="22"/>
          <w:lang w:val="en-US" w:eastAsia="en-US"/>
        </w:rPr>
      </w:pPr>
      <w:hyperlink w:anchor="_Toc175914443" w:history="1">
        <w:r w:rsidRPr="005730FB">
          <w:rPr>
            <w:rStyle w:val="Hypertextovodkaz"/>
            <w:noProof/>
          </w:rPr>
          <w:t>Tabulka 3 Saldo a dluh sektoru vládních institucí</w:t>
        </w:r>
        <w:r>
          <w:rPr>
            <w:noProof/>
            <w:webHidden/>
          </w:rPr>
          <w:tab/>
        </w:r>
        <w:r>
          <w:rPr>
            <w:noProof/>
            <w:webHidden/>
          </w:rPr>
          <w:fldChar w:fldCharType="begin"/>
        </w:r>
        <w:r>
          <w:rPr>
            <w:noProof/>
            <w:webHidden/>
          </w:rPr>
          <w:instrText xml:space="preserve"> PAGEREF _Toc175914443 \h </w:instrText>
        </w:r>
        <w:r>
          <w:rPr>
            <w:noProof/>
            <w:webHidden/>
          </w:rPr>
        </w:r>
        <w:r>
          <w:rPr>
            <w:noProof/>
            <w:webHidden/>
          </w:rPr>
          <w:fldChar w:fldCharType="separate"/>
        </w:r>
        <w:r>
          <w:rPr>
            <w:noProof/>
            <w:webHidden/>
          </w:rPr>
          <w:t>8</w:t>
        </w:r>
        <w:r>
          <w:rPr>
            <w:noProof/>
            <w:webHidden/>
          </w:rPr>
          <w:fldChar w:fldCharType="end"/>
        </w:r>
      </w:hyperlink>
    </w:p>
    <w:p w:rsidR="00010FD9" w:rsidRDefault="00010FD9">
      <w:pPr>
        <w:pStyle w:val="Seznamobrzk"/>
        <w:rPr>
          <w:rFonts w:asciiTheme="minorHAnsi" w:eastAsiaTheme="minorEastAsia" w:hAnsiTheme="minorHAnsi" w:cstheme="minorBidi"/>
          <w:noProof/>
          <w:sz w:val="22"/>
          <w:szCs w:val="22"/>
          <w:lang w:val="en-US" w:eastAsia="en-US"/>
        </w:rPr>
      </w:pPr>
      <w:hyperlink w:anchor="_Toc175914444" w:history="1">
        <w:r w:rsidRPr="005730FB">
          <w:rPr>
            <w:rStyle w:val="Hypertextovodkaz"/>
            <w:noProof/>
          </w:rPr>
          <w:t>Tabulka 4 Srovnání makroekonomických predikcí</w:t>
        </w:r>
        <w:r>
          <w:rPr>
            <w:noProof/>
            <w:webHidden/>
          </w:rPr>
          <w:tab/>
        </w:r>
        <w:r>
          <w:rPr>
            <w:noProof/>
            <w:webHidden/>
          </w:rPr>
          <w:fldChar w:fldCharType="begin"/>
        </w:r>
        <w:r>
          <w:rPr>
            <w:noProof/>
            <w:webHidden/>
          </w:rPr>
          <w:instrText xml:space="preserve"> PAGEREF _Toc175914444 \h </w:instrText>
        </w:r>
        <w:r>
          <w:rPr>
            <w:noProof/>
            <w:webHidden/>
          </w:rPr>
        </w:r>
        <w:r>
          <w:rPr>
            <w:noProof/>
            <w:webHidden/>
          </w:rPr>
          <w:fldChar w:fldCharType="separate"/>
        </w:r>
        <w:r>
          <w:rPr>
            <w:noProof/>
            <w:webHidden/>
          </w:rPr>
          <w:t>13</w:t>
        </w:r>
        <w:r>
          <w:rPr>
            <w:noProof/>
            <w:webHidden/>
          </w:rPr>
          <w:fldChar w:fldCharType="end"/>
        </w:r>
      </w:hyperlink>
    </w:p>
    <w:p w:rsidR="00010FD9" w:rsidRDefault="00010FD9">
      <w:pPr>
        <w:pStyle w:val="Seznamobrzk"/>
        <w:rPr>
          <w:rFonts w:asciiTheme="minorHAnsi" w:eastAsiaTheme="minorEastAsia" w:hAnsiTheme="minorHAnsi" w:cstheme="minorBidi"/>
          <w:noProof/>
          <w:sz w:val="22"/>
          <w:szCs w:val="22"/>
          <w:lang w:val="en-US" w:eastAsia="en-US"/>
        </w:rPr>
      </w:pPr>
      <w:hyperlink w:anchor="_Toc175914445" w:history="1">
        <w:r w:rsidRPr="005730FB">
          <w:rPr>
            <w:rStyle w:val="Hypertextovodkaz"/>
            <w:noProof/>
          </w:rPr>
          <w:t xml:space="preserve">Tabulka 5 Souhrn změn výdajových rámců na roky 2025 až 2027 </w:t>
        </w:r>
        <w:r w:rsidRPr="005730FB">
          <w:rPr>
            <w:rStyle w:val="Hypertextovodkaz"/>
            <w:i/>
            <w:noProof/>
          </w:rPr>
          <w:t>(v mld. Kč)</w:t>
        </w:r>
        <w:r>
          <w:rPr>
            <w:noProof/>
            <w:webHidden/>
          </w:rPr>
          <w:tab/>
        </w:r>
        <w:r>
          <w:rPr>
            <w:noProof/>
            <w:webHidden/>
          </w:rPr>
          <w:fldChar w:fldCharType="begin"/>
        </w:r>
        <w:r>
          <w:rPr>
            <w:noProof/>
            <w:webHidden/>
          </w:rPr>
          <w:instrText xml:space="preserve"> PAGEREF _Toc175914445 \h </w:instrText>
        </w:r>
        <w:r>
          <w:rPr>
            <w:noProof/>
            <w:webHidden/>
          </w:rPr>
        </w:r>
        <w:r>
          <w:rPr>
            <w:noProof/>
            <w:webHidden/>
          </w:rPr>
          <w:fldChar w:fldCharType="separate"/>
        </w:r>
        <w:r>
          <w:rPr>
            <w:noProof/>
            <w:webHidden/>
          </w:rPr>
          <w:t>13</w:t>
        </w:r>
        <w:r>
          <w:rPr>
            <w:noProof/>
            <w:webHidden/>
          </w:rPr>
          <w:fldChar w:fldCharType="end"/>
        </w:r>
      </w:hyperlink>
    </w:p>
    <w:p w:rsidR="00010FD9" w:rsidRDefault="00010FD9">
      <w:pPr>
        <w:pStyle w:val="Seznamobrzk"/>
        <w:rPr>
          <w:rFonts w:asciiTheme="minorHAnsi" w:eastAsiaTheme="minorEastAsia" w:hAnsiTheme="minorHAnsi" w:cstheme="minorBidi"/>
          <w:noProof/>
          <w:sz w:val="22"/>
          <w:szCs w:val="22"/>
          <w:lang w:val="en-US" w:eastAsia="en-US"/>
        </w:rPr>
      </w:pPr>
      <w:hyperlink w:anchor="_Toc175914446" w:history="1">
        <w:r w:rsidRPr="005730FB">
          <w:rPr>
            <w:rStyle w:val="Hypertextovodkaz"/>
            <w:noProof/>
          </w:rPr>
          <w:t xml:space="preserve">Tabulka 6 Celkové příjmy, celkové výdaje a saldo státního rozpočtu v letech 2019 – 2027 </w:t>
        </w:r>
        <w:r w:rsidRPr="005730FB">
          <w:rPr>
            <w:rStyle w:val="Hypertextovodkaz"/>
            <w:i/>
            <w:noProof/>
          </w:rPr>
          <w:t>(v mld. Kč)</w:t>
        </w:r>
        <w:r>
          <w:rPr>
            <w:noProof/>
            <w:webHidden/>
          </w:rPr>
          <w:tab/>
        </w:r>
        <w:r>
          <w:rPr>
            <w:noProof/>
            <w:webHidden/>
          </w:rPr>
          <w:fldChar w:fldCharType="begin"/>
        </w:r>
        <w:r>
          <w:rPr>
            <w:noProof/>
            <w:webHidden/>
          </w:rPr>
          <w:instrText xml:space="preserve"> PAGEREF _Toc175914446 \h </w:instrText>
        </w:r>
        <w:r>
          <w:rPr>
            <w:noProof/>
            <w:webHidden/>
          </w:rPr>
        </w:r>
        <w:r>
          <w:rPr>
            <w:noProof/>
            <w:webHidden/>
          </w:rPr>
          <w:fldChar w:fldCharType="separate"/>
        </w:r>
        <w:r>
          <w:rPr>
            <w:noProof/>
            <w:webHidden/>
          </w:rPr>
          <w:t>14</w:t>
        </w:r>
        <w:r>
          <w:rPr>
            <w:noProof/>
            <w:webHidden/>
          </w:rPr>
          <w:fldChar w:fldCharType="end"/>
        </w:r>
      </w:hyperlink>
    </w:p>
    <w:p w:rsidR="00010FD9" w:rsidRDefault="00010FD9">
      <w:pPr>
        <w:pStyle w:val="Seznamobrzk"/>
        <w:rPr>
          <w:rFonts w:asciiTheme="minorHAnsi" w:eastAsiaTheme="minorEastAsia" w:hAnsiTheme="minorHAnsi" w:cstheme="minorBidi"/>
          <w:noProof/>
          <w:sz w:val="22"/>
          <w:szCs w:val="22"/>
          <w:lang w:val="en-US" w:eastAsia="en-US"/>
        </w:rPr>
      </w:pPr>
      <w:hyperlink w:anchor="_Toc175914447" w:history="1">
        <w:r w:rsidRPr="005730FB">
          <w:rPr>
            <w:rStyle w:val="Hypertextovodkaz"/>
            <w:noProof/>
          </w:rPr>
          <w:t xml:space="preserve">Tabulka 7 Vývoj příjmů státního rozpočtu v letech 2019 – 2027 </w:t>
        </w:r>
        <w:r w:rsidRPr="005730FB">
          <w:rPr>
            <w:rStyle w:val="Hypertextovodkaz"/>
            <w:i/>
            <w:noProof/>
          </w:rPr>
          <w:t>(v mld. Kč)</w:t>
        </w:r>
        <w:r>
          <w:rPr>
            <w:noProof/>
            <w:webHidden/>
          </w:rPr>
          <w:tab/>
        </w:r>
        <w:r>
          <w:rPr>
            <w:noProof/>
            <w:webHidden/>
          </w:rPr>
          <w:fldChar w:fldCharType="begin"/>
        </w:r>
        <w:r>
          <w:rPr>
            <w:noProof/>
            <w:webHidden/>
          </w:rPr>
          <w:instrText xml:space="preserve"> PAGEREF _Toc175914447 \h </w:instrText>
        </w:r>
        <w:r>
          <w:rPr>
            <w:noProof/>
            <w:webHidden/>
          </w:rPr>
        </w:r>
        <w:r>
          <w:rPr>
            <w:noProof/>
            <w:webHidden/>
          </w:rPr>
          <w:fldChar w:fldCharType="separate"/>
        </w:r>
        <w:r>
          <w:rPr>
            <w:noProof/>
            <w:webHidden/>
          </w:rPr>
          <w:t>14</w:t>
        </w:r>
        <w:r>
          <w:rPr>
            <w:noProof/>
            <w:webHidden/>
          </w:rPr>
          <w:fldChar w:fldCharType="end"/>
        </w:r>
      </w:hyperlink>
    </w:p>
    <w:p w:rsidR="00010FD9" w:rsidRDefault="00010FD9">
      <w:pPr>
        <w:pStyle w:val="Seznamobrzk"/>
        <w:rPr>
          <w:rFonts w:asciiTheme="minorHAnsi" w:eastAsiaTheme="minorEastAsia" w:hAnsiTheme="minorHAnsi" w:cstheme="minorBidi"/>
          <w:noProof/>
          <w:sz w:val="22"/>
          <w:szCs w:val="22"/>
          <w:lang w:val="en-US" w:eastAsia="en-US"/>
        </w:rPr>
      </w:pPr>
      <w:hyperlink w:anchor="_Toc175914448" w:history="1">
        <w:r w:rsidRPr="005730FB">
          <w:rPr>
            <w:rStyle w:val="Hypertextovodkaz"/>
            <w:noProof/>
          </w:rPr>
          <w:t xml:space="preserve">Tabulka 8 Vývoj daňové kvóty dle rozpočtové skladby v ČR v letech 2019 – 2027 </w:t>
        </w:r>
        <w:r w:rsidRPr="005730FB">
          <w:rPr>
            <w:rStyle w:val="Hypertextovodkaz"/>
            <w:i/>
            <w:noProof/>
          </w:rPr>
          <w:t>(v %)</w:t>
        </w:r>
        <w:r>
          <w:rPr>
            <w:noProof/>
            <w:webHidden/>
          </w:rPr>
          <w:tab/>
        </w:r>
        <w:r>
          <w:rPr>
            <w:noProof/>
            <w:webHidden/>
          </w:rPr>
          <w:fldChar w:fldCharType="begin"/>
        </w:r>
        <w:r>
          <w:rPr>
            <w:noProof/>
            <w:webHidden/>
          </w:rPr>
          <w:instrText xml:space="preserve"> PAGEREF _Toc175914448 \h </w:instrText>
        </w:r>
        <w:r>
          <w:rPr>
            <w:noProof/>
            <w:webHidden/>
          </w:rPr>
        </w:r>
        <w:r>
          <w:rPr>
            <w:noProof/>
            <w:webHidden/>
          </w:rPr>
          <w:fldChar w:fldCharType="separate"/>
        </w:r>
        <w:r>
          <w:rPr>
            <w:noProof/>
            <w:webHidden/>
          </w:rPr>
          <w:t>15</w:t>
        </w:r>
        <w:r>
          <w:rPr>
            <w:noProof/>
            <w:webHidden/>
          </w:rPr>
          <w:fldChar w:fldCharType="end"/>
        </w:r>
      </w:hyperlink>
    </w:p>
    <w:p w:rsidR="00010FD9" w:rsidRDefault="00010FD9">
      <w:pPr>
        <w:pStyle w:val="Seznamobrzk"/>
        <w:rPr>
          <w:rFonts w:asciiTheme="minorHAnsi" w:eastAsiaTheme="minorEastAsia" w:hAnsiTheme="minorHAnsi" w:cstheme="minorBidi"/>
          <w:noProof/>
          <w:sz w:val="22"/>
          <w:szCs w:val="22"/>
          <w:lang w:val="en-US" w:eastAsia="en-US"/>
        </w:rPr>
      </w:pPr>
      <w:hyperlink w:anchor="_Toc175914449" w:history="1">
        <w:r w:rsidRPr="005730FB">
          <w:rPr>
            <w:rStyle w:val="Hypertextovodkaz"/>
            <w:noProof/>
          </w:rPr>
          <w:t xml:space="preserve">Tabulka 9 Vývoj daňových příjmů v letech 2019 – 2027 </w:t>
        </w:r>
        <w:r w:rsidRPr="005730FB">
          <w:rPr>
            <w:rStyle w:val="Hypertextovodkaz"/>
            <w:i/>
            <w:noProof/>
          </w:rPr>
          <w:t>(v mld. Kč)</w:t>
        </w:r>
        <w:r>
          <w:rPr>
            <w:noProof/>
            <w:webHidden/>
          </w:rPr>
          <w:tab/>
        </w:r>
        <w:r>
          <w:rPr>
            <w:noProof/>
            <w:webHidden/>
          </w:rPr>
          <w:fldChar w:fldCharType="begin"/>
        </w:r>
        <w:r>
          <w:rPr>
            <w:noProof/>
            <w:webHidden/>
          </w:rPr>
          <w:instrText xml:space="preserve"> PAGEREF _Toc175914449 \h </w:instrText>
        </w:r>
        <w:r>
          <w:rPr>
            <w:noProof/>
            <w:webHidden/>
          </w:rPr>
        </w:r>
        <w:r>
          <w:rPr>
            <w:noProof/>
            <w:webHidden/>
          </w:rPr>
          <w:fldChar w:fldCharType="separate"/>
        </w:r>
        <w:r>
          <w:rPr>
            <w:noProof/>
            <w:webHidden/>
          </w:rPr>
          <w:t>15</w:t>
        </w:r>
        <w:r>
          <w:rPr>
            <w:noProof/>
            <w:webHidden/>
          </w:rPr>
          <w:fldChar w:fldCharType="end"/>
        </w:r>
      </w:hyperlink>
    </w:p>
    <w:p w:rsidR="00010FD9" w:rsidRDefault="00010FD9">
      <w:pPr>
        <w:pStyle w:val="Seznamobrzk"/>
        <w:rPr>
          <w:rFonts w:asciiTheme="minorHAnsi" w:eastAsiaTheme="minorEastAsia" w:hAnsiTheme="minorHAnsi" w:cstheme="minorBidi"/>
          <w:noProof/>
          <w:sz w:val="22"/>
          <w:szCs w:val="22"/>
          <w:lang w:val="en-US" w:eastAsia="en-US"/>
        </w:rPr>
      </w:pPr>
      <w:hyperlink w:anchor="_Toc175914450" w:history="1">
        <w:r w:rsidRPr="005730FB">
          <w:rPr>
            <w:rStyle w:val="Hypertextovodkaz"/>
            <w:noProof/>
          </w:rPr>
          <w:t xml:space="preserve">Tabulka 10 Příjmy z pojistného v letech 2019 – 2027 </w:t>
        </w:r>
        <w:r w:rsidRPr="005730FB">
          <w:rPr>
            <w:rStyle w:val="Hypertextovodkaz"/>
            <w:i/>
            <w:noProof/>
          </w:rPr>
          <w:t>(v mld. Kč)</w:t>
        </w:r>
        <w:r>
          <w:rPr>
            <w:noProof/>
            <w:webHidden/>
          </w:rPr>
          <w:tab/>
        </w:r>
        <w:r>
          <w:rPr>
            <w:noProof/>
            <w:webHidden/>
          </w:rPr>
          <w:fldChar w:fldCharType="begin"/>
        </w:r>
        <w:r>
          <w:rPr>
            <w:noProof/>
            <w:webHidden/>
          </w:rPr>
          <w:instrText xml:space="preserve"> PAGEREF _Toc175914450 \h </w:instrText>
        </w:r>
        <w:r>
          <w:rPr>
            <w:noProof/>
            <w:webHidden/>
          </w:rPr>
        </w:r>
        <w:r>
          <w:rPr>
            <w:noProof/>
            <w:webHidden/>
          </w:rPr>
          <w:fldChar w:fldCharType="separate"/>
        </w:r>
        <w:r>
          <w:rPr>
            <w:noProof/>
            <w:webHidden/>
          </w:rPr>
          <w:t>18</w:t>
        </w:r>
        <w:r>
          <w:rPr>
            <w:noProof/>
            <w:webHidden/>
          </w:rPr>
          <w:fldChar w:fldCharType="end"/>
        </w:r>
      </w:hyperlink>
    </w:p>
    <w:p w:rsidR="00010FD9" w:rsidRDefault="00010FD9">
      <w:pPr>
        <w:pStyle w:val="Seznamobrzk"/>
        <w:rPr>
          <w:rFonts w:asciiTheme="minorHAnsi" w:eastAsiaTheme="minorEastAsia" w:hAnsiTheme="minorHAnsi" w:cstheme="minorBidi"/>
          <w:noProof/>
          <w:sz w:val="22"/>
          <w:szCs w:val="22"/>
          <w:lang w:val="en-US" w:eastAsia="en-US"/>
        </w:rPr>
      </w:pPr>
      <w:hyperlink w:anchor="_Toc175914451" w:history="1">
        <w:r w:rsidRPr="005730FB">
          <w:rPr>
            <w:rStyle w:val="Hypertextovodkaz"/>
            <w:noProof/>
          </w:rPr>
          <w:t xml:space="preserve">Tabulka 11 Nedaňové příjmy, kapitálové příjmy a přijaté transfery v letech 2019 – 2027 </w:t>
        </w:r>
        <w:r w:rsidRPr="005730FB">
          <w:rPr>
            <w:rStyle w:val="Hypertextovodkaz"/>
            <w:i/>
            <w:noProof/>
          </w:rPr>
          <w:t>(v mil. Kč)</w:t>
        </w:r>
        <w:r>
          <w:rPr>
            <w:noProof/>
            <w:webHidden/>
          </w:rPr>
          <w:tab/>
        </w:r>
        <w:r>
          <w:rPr>
            <w:noProof/>
            <w:webHidden/>
          </w:rPr>
          <w:fldChar w:fldCharType="begin"/>
        </w:r>
        <w:r>
          <w:rPr>
            <w:noProof/>
            <w:webHidden/>
          </w:rPr>
          <w:instrText xml:space="preserve"> PAGEREF _Toc175914451 \h </w:instrText>
        </w:r>
        <w:r>
          <w:rPr>
            <w:noProof/>
            <w:webHidden/>
          </w:rPr>
        </w:r>
        <w:r>
          <w:rPr>
            <w:noProof/>
            <w:webHidden/>
          </w:rPr>
          <w:fldChar w:fldCharType="separate"/>
        </w:r>
        <w:r>
          <w:rPr>
            <w:noProof/>
            <w:webHidden/>
          </w:rPr>
          <w:t>18</w:t>
        </w:r>
        <w:r>
          <w:rPr>
            <w:noProof/>
            <w:webHidden/>
          </w:rPr>
          <w:fldChar w:fldCharType="end"/>
        </w:r>
      </w:hyperlink>
    </w:p>
    <w:p w:rsidR="00010FD9" w:rsidRDefault="00010FD9">
      <w:pPr>
        <w:pStyle w:val="Seznamobrzk"/>
        <w:rPr>
          <w:rFonts w:asciiTheme="minorHAnsi" w:eastAsiaTheme="minorEastAsia" w:hAnsiTheme="minorHAnsi" w:cstheme="minorBidi"/>
          <w:noProof/>
          <w:sz w:val="22"/>
          <w:szCs w:val="22"/>
          <w:lang w:val="en-US" w:eastAsia="en-US"/>
        </w:rPr>
      </w:pPr>
      <w:hyperlink w:anchor="_Toc175914452" w:history="1">
        <w:r w:rsidRPr="005730FB">
          <w:rPr>
            <w:rStyle w:val="Hypertextovodkaz"/>
            <w:noProof/>
          </w:rPr>
          <w:t xml:space="preserve">Tabulka 12 Vývoj celkových výdajů v letech 2019 – 2027 </w:t>
        </w:r>
        <w:r w:rsidRPr="005730FB">
          <w:rPr>
            <w:rStyle w:val="Hypertextovodkaz"/>
            <w:i/>
            <w:noProof/>
          </w:rPr>
          <w:t>(v mld. Kč)</w:t>
        </w:r>
        <w:r>
          <w:rPr>
            <w:noProof/>
            <w:webHidden/>
          </w:rPr>
          <w:tab/>
        </w:r>
        <w:r>
          <w:rPr>
            <w:noProof/>
            <w:webHidden/>
          </w:rPr>
          <w:fldChar w:fldCharType="begin"/>
        </w:r>
        <w:r>
          <w:rPr>
            <w:noProof/>
            <w:webHidden/>
          </w:rPr>
          <w:instrText xml:space="preserve"> PAGEREF _Toc175914452 \h </w:instrText>
        </w:r>
        <w:r>
          <w:rPr>
            <w:noProof/>
            <w:webHidden/>
          </w:rPr>
        </w:r>
        <w:r>
          <w:rPr>
            <w:noProof/>
            <w:webHidden/>
          </w:rPr>
          <w:fldChar w:fldCharType="separate"/>
        </w:r>
        <w:r>
          <w:rPr>
            <w:noProof/>
            <w:webHidden/>
          </w:rPr>
          <w:t>19</w:t>
        </w:r>
        <w:r>
          <w:rPr>
            <w:noProof/>
            <w:webHidden/>
          </w:rPr>
          <w:fldChar w:fldCharType="end"/>
        </w:r>
      </w:hyperlink>
    </w:p>
    <w:p w:rsidR="00010FD9" w:rsidRDefault="00010FD9">
      <w:pPr>
        <w:pStyle w:val="Seznamobrzk"/>
        <w:rPr>
          <w:rFonts w:asciiTheme="minorHAnsi" w:eastAsiaTheme="minorEastAsia" w:hAnsiTheme="minorHAnsi" w:cstheme="minorBidi"/>
          <w:noProof/>
          <w:sz w:val="22"/>
          <w:szCs w:val="22"/>
          <w:lang w:val="en-US" w:eastAsia="en-US"/>
        </w:rPr>
      </w:pPr>
      <w:hyperlink w:anchor="_Toc175914453" w:history="1">
        <w:r w:rsidRPr="005730FB">
          <w:rPr>
            <w:rStyle w:val="Hypertextovodkaz"/>
            <w:noProof/>
          </w:rPr>
          <w:t xml:space="preserve">Tabulka 13 Podíl mandatorních výdajů vyplývajících ze zákona a ostatních mandatorních a quasi MV na celkových výdajích státní rozpočtu bez EU/FM a účetních operací PRV 2019 – 2027 </w:t>
        </w:r>
        <w:r w:rsidRPr="005730FB">
          <w:rPr>
            <w:rStyle w:val="Hypertextovodkaz"/>
            <w:i/>
            <w:noProof/>
          </w:rPr>
          <w:t>(v mld. Kč)</w:t>
        </w:r>
        <w:r>
          <w:rPr>
            <w:noProof/>
            <w:webHidden/>
          </w:rPr>
          <w:tab/>
        </w:r>
        <w:r>
          <w:rPr>
            <w:noProof/>
            <w:webHidden/>
          </w:rPr>
          <w:fldChar w:fldCharType="begin"/>
        </w:r>
        <w:r>
          <w:rPr>
            <w:noProof/>
            <w:webHidden/>
          </w:rPr>
          <w:instrText xml:space="preserve"> PAGEREF _Toc175914453 \h </w:instrText>
        </w:r>
        <w:r>
          <w:rPr>
            <w:noProof/>
            <w:webHidden/>
          </w:rPr>
        </w:r>
        <w:r>
          <w:rPr>
            <w:noProof/>
            <w:webHidden/>
          </w:rPr>
          <w:fldChar w:fldCharType="separate"/>
        </w:r>
        <w:r>
          <w:rPr>
            <w:noProof/>
            <w:webHidden/>
          </w:rPr>
          <w:t>20</w:t>
        </w:r>
        <w:r>
          <w:rPr>
            <w:noProof/>
            <w:webHidden/>
          </w:rPr>
          <w:fldChar w:fldCharType="end"/>
        </w:r>
      </w:hyperlink>
    </w:p>
    <w:p w:rsidR="00010FD9" w:rsidRDefault="00010FD9">
      <w:pPr>
        <w:pStyle w:val="Seznamobrzk"/>
        <w:rPr>
          <w:rFonts w:asciiTheme="minorHAnsi" w:eastAsiaTheme="minorEastAsia" w:hAnsiTheme="minorHAnsi" w:cstheme="minorBidi"/>
          <w:noProof/>
          <w:sz w:val="22"/>
          <w:szCs w:val="22"/>
          <w:lang w:val="en-US" w:eastAsia="en-US"/>
        </w:rPr>
      </w:pPr>
      <w:hyperlink w:anchor="_Toc175914454" w:history="1">
        <w:r w:rsidRPr="005730FB">
          <w:rPr>
            <w:rStyle w:val="Hypertextovodkaz"/>
            <w:noProof/>
          </w:rPr>
          <w:t>Tabulka 14 Mandatorní výdaje bez EU/FM a účetních operací PRV 2019 – 2027</w:t>
        </w:r>
        <w:r>
          <w:rPr>
            <w:noProof/>
            <w:webHidden/>
          </w:rPr>
          <w:tab/>
        </w:r>
        <w:r>
          <w:rPr>
            <w:noProof/>
            <w:webHidden/>
          </w:rPr>
          <w:fldChar w:fldCharType="begin"/>
        </w:r>
        <w:r>
          <w:rPr>
            <w:noProof/>
            <w:webHidden/>
          </w:rPr>
          <w:instrText xml:space="preserve"> PAGEREF _Toc175914454 \h </w:instrText>
        </w:r>
        <w:r>
          <w:rPr>
            <w:noProof/>
            <w:webHidden/>
          </w:rPr>
        </w:r>
        <w:r>
          <w:rPr>
            <w:noProof/>
            <w:webHidden/>
          </w:rPr>
          <w:fldChar w:fldCharType="separate"/>
        </w:r>
        <w:r>
          <w:rPr>
            <w:noProof/>
            <w:webHidden/>
          </w:rPr>
          <w:t>21</w:t>
        </w:r>
        <w:r>
          <w:rPr>
            <w:noProof/>
            <w:webHidden/>
          </w:rPr>
          <w:fldChar w:fldCharType="end"/>
        </w:r>
      </w:hyperlink>
    </w:p>
    <w:p w:rsidR="00010FD9" w:rsidRDefault="00010FD9">
      <w:pPr>
        <w:pStyle w:val="Seznamobrzk"/>
        <w:rPr>
          <w:rFonts w:asciiTheme="minorHAnsi" w:eastAsiaTheme="minorEastAsia" w:hAnsiTheme="minorHAnsi" w:cstheme="minorBidi"/>
          <w:noProof/>
          <w:sz w:val="22"/>
          <w:szCs w:val="22"/>
          <w:lang w:val="en-US" w:eastAsia="en-US"/>
        </w:rPr>
      </w:pPr>
      <w:hyperlink w:anchor="_Toc175914455" w:history="1">
        <w:r w:rsidRPr="005730FB">
          <w:rPr>
            <w:rStyle w:val="Hypertextovodkaz"/>
            <w:noProof/>
          </w:rPr>
          <w:t xml:space="preserve">Tabulka 15 Přehled výhledu sociálních mandatorních výdajů podle jednotlivých výdajových segmentů v letech 2019 – 2027 </w:t>
        </w:r>
        <w:r w:rsidRPr="005730FB">
          <w:rPr>
            <w:rStyle w:val="Hypertextovodkaz"/>
            <w:i/>
            <w:noProof/>
          </w:rPr>
          <w:t>(v mil. Kč)</w:t>
        </w:r>
        <w:r>
          <w:rPr>
            <w:noProof/>
            <w:webHidden/>
          </w:rPr>
          <w:tab/>
        </w:r>
        <w:r>
          <w:rPr>
            <w:noProof/>
            <w:webHidden/>
          </w:rPr>
          <w:fldChar w:fldCharType="begin"/>
        </w:r>
        <w:r>
          <w:rPr>
            <w:noProof/>
            <w:webHidden/>
          </w:rPr>
          <w:instrText xml:space="preserve"> PAGEREF _Toc175914455 \h </w:instrText>
        </w:r>
        <w:r>
          <w:rPr>
            <w:noProof/>
            <w:webHidden/>
          </w:rPr>
        </w:r>
        <w:r>
          <w:rPr>
            <w:noProof/>
            <w:webHidden/>
          </w:rPr>
          <w:fldChar w:fldCharType="separate"/>
        </w:r>
        <w:r>
          <w:rPr>
            <w:noProof/>
            <w:webHidden/>
          </w:rPr>
          <w:t>23</w:t>
        </w:r>
        <w:r>
          <w:rPr>
            <w:noProof/>
            <w:webHidden/>
          </w:rPr>
          <w:fldChar w:fldCharType="end"/>
        </w:r>
      </w:hyperlink>
    </w:p>
    <w:p w:rsidR="00010FD9" w:rsidRDefault="00010FD9">
      <w:pPr>
        <w:pStyle w:val="Seznamobrzk"/>
        <w:rPr>
          <w:rFonts w:asciiTheme="minorHAnsi" w:eastAsiaTheme="minorEastAsia" w:hAnsiTheme="minorHAnsi" w:cstheme="minorBidi"/>
          <w:noProof/>
          <w:sz w:val="22"/>
          <w:szCs w:val="22"/>
          <w:lang w:val="en-US" w:eastAsia="en-US"/>
        </w:rPr>
      </w:pPr>
      <w:hyperlink w:anchor="_Toc175914456" w:history="1">
        <w:r w:rsidRPr="005730FB">
          <w:rPr>
            <w:rStyle w:val="Hypertextovodkaz"/>
            <w:noProof/>
          </w:rPr>
          <w:t>Tabulka 16 Vývoj objemu prostředků na platy a ostatní platby za provedenou práci, počtu míst a průměrných platů v OSS a PO v letech 2019 – 2027</w:t>
        </w:r>
        <w:r>
          <w:rPr>
            <w:noProof/>
            <w:webHidden/>
          </w:rPr>
          <w:tab/>
        </w:r>
        <w:r>
          <w:rPr>
            <w:noProof/>
            <w:webHidden/>
          </w:rPr>
          <w:fldChar w:fldCharType="begin"/>
        </w:r>
        <w:r>
          <w:rPr>
            <w:noProof/>
            <w:webHidden/>
          </w:rPr>
          <w:instrText xml:space="preserve"> PAGEREF _Toc175914456 \h </w:instrText>
        </w:r>
        <w:r>
          <w:rPr>
            <w:noProof/>
            <w:webHidden/>
          </w:rPr>
        </w:r>
        <w:r>
          <w:rPr>
            <w:noProof/>
            <w:webHidden/>
          </w:rPr>
          <w:fldChar w:fldCharType="separate"/>
        </w:r>
        <w:r>
          <w:rPr>
            <w:noProof/>
            <w:webHidden/>
          </w:rPr>
          <w:t>24</w:t>
        </w:r>
        <w:r>
          <w:rPr>
            <w:noProof/>
            <w:webHidden/>
          </w:rPr>
          <w:fldChar w:fldCharType="end"/>
        </w:r>
      </w:hyperlink>
    </w:p>
    <w:p w:rsidR="00010FD9" w:rsidRDefault="00010FD9">
      <w:pPr>
        <w:pStyle w:val="Seznamobrzk"/>
        <w:rPr>
          <w:rFonts w:asciiTheme="minorHAnsi" w:eastAsiaTheme="minorEastAsia" w:hAnsiTheme="minorHAnsi" w:cstheme="minorBidi"/>
          <w:noProof/>
          <w:sz w:val="22"/>
          <w:szCs w:val="22"/>
          <w:lang w:val="en-US" w:eastAsia="en-US"/>
        </w:rPr>
      </w:pPr>
      <w:hyperlink w:anchor="_Toc175914457" w:history="1">
        <w:r w:rsidRPr="005730FB">
          <w:rPr>
            <w:rStyle w:val="Hypertextovodkaz"/>
            <w:noProof/>
          </w:rPr>
          <w:t xml:space="preserve">Tabulka 17 Odvody do rozpočtu EU v letech 2019 – 2027 </w:t>
        </w:r>
        <w:r w:rsidRPr="005730FB">
          <w:rPr>
            <w:rStyle w:val="Hypertextovodkaz"/>
            <w:i/>
            <w:noProof/>
          </w:rPr>
          <w:t>(v mld. Kč)</w:t>
        </w:r>
        <w:r>
          <w:rPr>
            <w:noProof/>
            <w:webHidden/>
          </w:rPr>
          <w:tab/>
        </w:r>
        <w:r>
          <w:rPr>
            <w:noProof/>
            <w:webHidden/>
          </w:rPr>
          <w:fldChar w:fldCharType="begin"/>
        </w:r>
        <w:r>
          <w:rPr>
            <w:noProof/>
            <w:webHidden/>
          </w:rPr>
          <w:instrText xml:space="preserve"> PAGEREF _Toc175914457 \h </w:instrText>
        </w:r>
        <w:r>
          <w:rPr>
            <w:noProof/>
            <w:webHidden/>
          </w:rPr>
        </w:r>
        <w:r>
          <w:rPr>
            <w:noProof/>
            <w:webHidden/>
          </w:rPr>
          <w:fldChar w:fldCharType="separate"/>
        </w:r>
        <w:r>
          <w:rPr>
            <w:noProof/>
            <w:webHidden/>
          </w:rPr>
          <w:t>25</w:t>
        </w:r>
        <w:r>
          <w:rPr>
            <w:noProof/>
            <w:webHidden/>
          </w:rPr>
          <w:fldChar w:fldCharType="end"/>
        </w:r>
      </w:hyperlink>
    </w:p>
    <w:p w:rsidR="00010FD9" w:rsidRDefault="00010FD9">
      <w:pPr>
        <w:pStyle w:val="Seznamobrzk"/>
        <w:rPr>
          <w:rFonts w:asciiTheme="minorHAnsi" w:eastAsiaTheme="minorEastAsia" w:hAnsiTheme="minorHAnsi" w:cstheme="minorBidi"/>
          <w:noProof/>
          <w:sz w:val="22"/>
          <w:szCs w:val="22"/>
          <w:lang w:val="en-US" w:eastAsia="en-US"/>
        </w:rPr>
      </w:pPr>
      <w:hyperlink w:anchor="_Toc175914458" w:history="1">
        <w:r w:rsidRPr="005730FB">
          <w:rPr>
            <w:rStyle w:val="Hypertextovodkaz"/>
            <w:noProof/>
          </w:rPr>
          <w:t xml:space="preserve">Tabulka 18 Výdaje na výzkum, vývoj a inovace v letech 2019 – 2027 </w:t>
        </w:r>
        <w:r w:rsidRPr="005730FB">
          <w:rPr>
            <w:rStyle w:val="Hypertextovodkaz"/>
            <w:i/>
            <w:noProof/>
          </w:rPr>
          <w:t>(v mld. Kč)</w:t>
        </w:r>
        <w:r>
          <w:rPr>
            <w:noProof/>
            <w:webHidden/>
          </w:rPr>
          <w:tab/>
        </w:r>
        <w:r>
          <w:rPr>
            <w:noProof/>
            <w:webHidden/>
          </w:rPr>
          <w:fldChar w:fldCharType="begin"/>
        </w:r>
        <w:r>
          <w:rPr>
            <w:noProof/>
            <w:webHidden/>
          </w:rPr>
          <w:instrText xml:space="preserve"> PAGEREF _Toc175914458 \h </w:instrText>
        </w:r>
        <w:r>
          <w:rPr>
            <w:noProof/>
            <w:webHidden/>
          </w:rPr>
        </w:r>
        <w:r>
          <w:rPr>
            <w:noProof/>
            <w:webHidden/>
          </w:rPr>
          <w:fldChar w:fldCharType="separate"/>
        </w:r>
        <w:r>
          <w:rPr>
            <w:noProof/>
            <w:webHidden/>
          </w:rPr>
          <w:t>26</w:t>
        </w:r>
        <w:r>
          <w:rPr>
            <w:noProof/>
            <w:webHidden/>
          </w:rPr>
          <w:fldChar w:fldCharType="end"/>
        </w:r>
      </w:hyperlink>
    </w:p>
    <w:p w:rsidR="00010FD9" w:rsidRDefault="00010FD9">
      <w:pPr>
        <w:pStyle w:val="Seznamobrzk"/>
        <w:rPr>
          <w:rFonts w:asciiTheme="minorHAnsi" w:eastAsiaTheme="minorEastAsia" w:hAnsiTheme="minorHAnsi" w:cstheme="minorBidi"/>
          <w:noProof/>
          <w:sz w:val="22"/>
          <w:szCs w:val="22"/>
          <w:lang w:val="en-US" w:eastAsia="en-US"/>
        </w:rPr>
      </w:pPr>
      <w:hyperlink w:anchor="_Toc175914459" w:history="1">
        <w:r w:rsidRPr="005730FB">
          <w:rPr>
            <w:rStyle w:val="Hypertextovodkaz"/>
            <w:noProof/>
          </w:rPr>
          <w:t xml:space="preserve">Tabulka 19 Výdaje na zahraniční rozvojovou spolupráci a humanitární pomoc v letech 2019 – 2027 </w:t>
        </w:r>
        <w:r w:rsidRPr="005730FB">
          <w:rPr>
            <w:rStyle w:val="Hypertextovodkaz"/>
            <w:i/>
            <w:noProof/>
          </w:rPr>
          <w:t>(v mil. Kč)</w:t>
        </w:r>
        <w:r>
          <w:rPr>
            <w:noProof/>
            <w:webHidden/>
          </w:rPr>
          <w:tab/>
        </w:r>
        <w:r>
          <w:rPr>
            <w:noProof/>
            <w:webHidden/>
          </w:rPr>
          <w:fldChar w:fldCharType="begin"/>
        </w:r>
        <w:r>
          <w:rPr>
            <w:noProof/>
            <w:webHidden/>
          </w:rPr>
          <w:instrText xml:space="preserve"> PAGEREF _Toc175914459 \h </w:instrText>
        </w:r>
        <w:r>
          <w:rPr>
            <w:noProof/>
            <w:webHidden/>
          </w:rPr>
        </w:r>
        <w:r>
          <w:rPr>
            <w:noProof/>
            <w:webHidden/>
          </w:rPr>
          <w:fldChar w:fldCharType="separate"/>
        </w:r>
        <w:r>
          <w:rPr>
            <w:noProof/>
            <w:webHidden/>
          </w:rPr>
          <w:t>27</w:t>
        </w:r>
        <w:r>
          <w:rPr>
            <w:noProof/>
            <w:webHidden/>
          </w:rPr>
          <w:fldChar w:fldCharType="end"/>
        </w:r>
      </w:hyperlink>
    </w:p>
    <w:p w:rsidR="00010FD9" w:rsidRDefault="00010FD9">
      <w:pPr>
        <w:pStyle w:val="Seznamobrzk"/>
        <w:rPr>
          <w:rFonts w:asciiTheme="minorHAnsi" w:eastAsiaTheme="minorEastAsia" w:hAnsiTheme="minorHAnsi" w:cstheme="minorBidi"/>
          <w:noProof/>
          <w:sz w:val="22"/>
          <w:szCs w:val="22"/>
          <w:lang w:val="en-US" w:eastAsia="en-US"/>
        </w:rPr>
      </w:pPr>
      <w:hyperlink w:anchor="_Toc175914460" w:history="1">
        <w:r w:rsidRPr="005730FB">
          <w:rPr>
            <w:rStyle w:val="Hypertextovodkaz"/>
            <w:noProof/>
          </w:rPr>
          <w:t xml:space="preserve">Tabulka 20 Výdaje na obranu státu podle kapitol v letech 2025 – 2027 </w:t>
        </w:r>
        <w:r w:rsidRPr="005730FB">
          <w:rPr>
            <w:rStyle w:val="Hypertextovodkaz"/>
            <w:i/>
            <w:noProof/>
          </w:rPr>
          <w:t>(v Kč)</w:t>
        </w:r>
        <w:r>
          <w:rPr>
            <w:noProof/>
            <w:webHidden/>
          </w:rPr>
          <w:tab/>
        </w:r>
        <w:r>
          <w:rPr>
            <w:noProof/>
            <w:webHidden/>
          </w:rPr>
          <w:fldChar w:fldCharType="begin"/>
        </w:r>
        <w:r>
          <w:rPr>
            <w:noProof/>
            <w:webHidden/>
          </w:rPr>
          <w:instrText xml:space="preserve"> PAGEREF _Toc175914460 \h </w:instrText>
        </w:r>
        <w:r>
          <w:rPr>
            <w:noProof/>
            <w:webHidden/>
          </w:rPr>
        </w:r>
        <w:r>
          <w:rPr>
            <w:noProof/>
            <w:webHidden/>
          </w:rPr>
          <w:fldChar w:fldCharType="separate"/>
        </w:r>
        <w:r>
          <w:rPr>
            <w:noProof/>
            <w:webHidden/>
          </w:rPr>
          <w:t>27</w:t>
        </w:r>
        <w:r>
          <w:rPr>
            <w:noProof/>
            <w:webHidden/>
          </w:rPr>
          <w:fldChar w:fldCharType="end"/>
        </w:r>
      </w:hyperlink>
    </w:p>
    <w:p w:rsidR="00010FD9" w:rsidRDefault="00010FD9">
      <w:pPr>
        <w:pStyle w:val="Seznamobrzk"/>
        <w:rPr>
          <w:rFonts w:asciiTheme="minorHAnsi" w:eastAsiaTheme="minorEastAsia" w:hAnsiTheme="minorHAnsi" w:cstheme="minorBidi"/>
          <w:noProof/>
          <w:sz w:val="22"/>
          <w:szCs w:val="22"/>
          <w:lang w:val="en-US" w:eastAsia="en-US"/>
        </w:rPr>
      </w:pPr>
      <w:hyperlink w:anchor="_Toc175914461" w:history="1">
        <w:r w:rsidRPr="005730FB">
          <w:rPr>
            <w:rStyle w:val="Hypertextovodkaz"/>
            <w:noProof/>
          </w:rPr>
          <w:t xml:space="preserve">Tabulka 21 Státní fond dopravní infrastruktury v letech 2025 – 2027 </w:t>
        </w:r>
        <w:r w:rsidRPr="005730FB">
          <w:rPr>
            <w:rStyle w:val="Hypertextovodkaz"/>
            <w:i/>
            <w:noProof/>
          </w:rPr>
          <w:t>(v Kč)</w:t>
        </w:r>
        <w:r>
          <w:rPr>
            <w:noProof/>
            <w:webHidden/>
          </w:rPr>
          <w:tab/>
        </w:r>
        <w:r>
          <w:rPr>
            <w:noProof/>
            <w:webHidden/>
          </w:rPr>
          <w:fldChar w:fldCharType="begin"/>
        </w:r>
        <w:r>
          <w:rPr>
            <w:noProof/>
            <w:webHidden/>
          </w:rPr>
          <w:instrText xml:space="preserve"> PAGEREF _Toc175914461 \h </w:instrText>
        </w:r>
        <w:r>
          <w:rPr>
            <w:noProof/>
            <w:webHidden/>
          </w:rPr>
        </w:r>
        <w:r>
          <w:rPr>
            <w:noProof/>
            <w:webHidden/>
          </w:rPr>
          <w:fldChar w:fldCharType="separate"/>
        </w:r>
        <w:r>
          <w:rPr>
            <w:noProof/>
            <w:webHidden/>
          </w:rPr>
          <w:t>28</w:t>
        </w:r>
        <w:r>
          <w:rPr>
            <w:noProof/>
            <w:webHidden/>
          </w:rPr>
          <w:fldChar w:fldCharType="end"/>
        </w:r>
      </w:hyperlink>
    </w:p>
    <w:p w:rsidR="00010FD9" w:rsidRDefault="00010FD9">
      <w:pPr>
        <w:pStyle w:val="Seznamobrzk"/>
        <w:rPr>
          <w:rFonts w:asciiTheme="minorHAnsi" w:eastAsiaTheme="minorEastAsia" w:hAnsiTheme="minorHAnsi" w:cstheme="minorBidi"/>
          <w:noProof/>
          <w:sz w:val="22"/>
          <w:szCs w:val="22"/>
          <w:lang w:val="en-US" w:eastAsia="en-US"/>
        </w:rPr>
      </w:pPr>
      <w:hyperlink w:anchor="_Toc175914462" w:history="1">
        <w:r w:rsidRPr="005730FB">
          <w:rPr>
            <w:rStyle w:val="Hypertextovodkaz"/>
            <w:noProof/>
          </w:rPr>
          <w:t xml:space="preserve">Tabulka 22 Státní zemědělský intervenční fond v letech 2025 – 2027 </w:t>
        </w:r>
        <w:r w:rsidRPr="005730FB">
          <w:rPr>
            <w:rStyle w:val="Hypertextovodkaz"/>
            <w:i/>
            <w:noProof/>
          </w:rPr>
          <w:t>(v Kč)</w:t>
        </w:r>
        <w:r>
          <w:rPr>
            <w:noProof/>
            <w:webHidden/>
          </w:rPr>
          <w:tab/>
        </w:r>
        <w:r>
          <w:rPr>
            <w:noProof/>
            <w:webHidden/>
          </w:rPr>
          <w:fldChar w:fldCharType="begin"/>
        </w:r>
        <w:r>
          <w:rPr>
            <w:noProof/>
            <w:webHidden/>
          </w:rPr>
          <w:instrText xml:space="preserve"> PAGEREF _Toc175914462 \h </w:instrText>
        </w:r>
        <w:r>
          <w:rPr>
            <w:noProof/>
            <w:webHidden/>
          </w:rPr>
        </w:r>
        <w:r>
          <w:rPr>
            <w:noProof/>
            <w:webHidden/>
          </w:rPr>
          <w:fldChar w:fldCharType="separate"/>
        </w:r>
        <w:r>
          <w:rPr>
            <w:noProof/>
            <w:webHidden/>
          </w:rPr>
          <w:t>29</w:t>
        </w:r>
        <w:r>
          <w:rPr>
            <w:noProof/>
            <w:webHidden/>
          </w:rPr>
          <w:fldChar w:fldCharType="end"/>
        </w:r>
      </w:hyperlink>
    </w:p>
    <w:p w:rsidR="00010FD9" w:rsidRDefault="00010FD9">
      <w:pPr>
        <w:pStyle w:val="Seznamobrzk"/>
        <w:rPr>
          <w:rFonts w:asciiTheme="minorHAnsi" w:eastAsiaTheme="minorEastAsia" w:hAnsiTheme="minorHAnsi" w:cstheme="minorBidi"/>
          <w:noProof/>
          <w:sz w:val="22"/>
          <w:szCs w:val="22"/>
          <w:lang w:val="en-US" w:eastAsia="en-US"/>
        </w:rPr>
      </w:pPr>
      <w:hyperlink w:anchor="_Toc175914463" w:history="1">
        <w:r w:rsidRPr="005730FB">
          <w:rPr>
            <w:rStyle w:val="Hypertextovodkaz"/>
            <w:noProof/>
          </w:rPr>
          <w:t xml:space="preserve">Tabulka 23 Státní fond kinematografie v letech 2025 – 2027 </w:t>
        </w:r>
        <w:r w:rsidRPr="005730FB">
          <w:rPr>
            <w:rStyle w:val="Hypertextovodkaz"/>
            <w:i/>
            <w:noProof/>
          </w:rPr>
          <w:t>(v Kč)</w:t>
        </w:r>
        <w:r>
          <w:rPr>
            <w:noProof/>
            <w:webHidden/>
          </w:rPr>
          <w:tab/>
        </w:r>
        <w:r>
          <w:rPr>
            <w:noProof/>
            <w:webHidden/>
          </w:rPr>
          <w:fldChar w:fldCharType="begin"/>
        </w:r>
        <w:r>
          <w:rPr>
            <w:noProof/>
            <w:webHidden/>
          </w:rPr>
          <w:instrText xml:space="preserve"> PAGEREF _Toc175914463 \h </w:instrText>
        </w:r>
        <w:r>
          <w:rPr>
            <w:noProof/>
            <w:webHidden/>
          </w:rPr>
        </w:r>
        <w:r>
          <w:rPr>
            <w:noProof/>
            <w:webHidden/>
          </w:rPr>
          <w:fldChar w:fldCharType="separate"/>
        </w:r>
        <w:r>
          <w:rPr>
            <w:noProof/>
            <w:webHidden/>
          </w:rPr>
          <w:t>29</w:t>
        </w:r>
        <w:r>
          <w:rPr>
            <w:noProof/>
            <w:webHidden/>
          </w:rPr>
          <w:fldChar w:fldCharType="end"/>
        </w:r>
      </w:hyperlink>
    </w:p>
    <w:p w:rsidR="00010FD9" w:rsidRDefault="00010FD9">
      <w:pPr>
        <w:pStyle w:val="Seznamobrzk"/>
        <w:rPr>
          <w:rFonts w:asciiTheme="minorHAnsi" w:eastAsiaTheme="minorEastAsia" w:hAnsiTheme="minorHAnsi" w:cstheme="minorBidi"/>
          <w:noProof/>
          <w:sz w:val="22"/>
          <w:szCs w:val="22"/>
          <w:lang w:val="en-US" w:eastAsia="en-US"/>
        </w:rPr>
      </w:pPr>
      <w:hyperlink w:anchor="_Toc175914464" w:history="1">
        <w:r w:rsidRPr="005730FB">
          <w:rPr>
            <w:rStyle w:val="Hypertextovodkaz"/>
            <w:noProof/>
          </w:rPr>
          <w:t xml:space="preserve">Tabulka 24 Státní fond kultury ČR v letech 2025 – 2027 </w:t>
        </w:r>
        <w:r w:rsidRPr="005730FB">
          <w:rPr>
            <w:rStyle w:val="Hypertextovodkaz"/>
            <w:i/>
            <w:noProof/>
          </w:rPr>
          <w:t>(v Kč)</w:t>
        </w:r>
        <w:r>
          <w:rPr>
            <w:noProof/>
            <w:webHidden/>
          </w:rPr>
          <w:tab/>
        </w:r>
        <w:r>
          <w:rPr>
            <w:noProof/>
            <w:webHidden/>
          </w:rPr>
          <w:fldChar w:fldCharType="begin"/>
        </w:r>
        <w:r>
          <w:rPr>
            <w:noProof/>
            <w:webHidden/>
          </w:rPr>
          <w:instrText xml:space="preserve"> PAGEREF _Toc175914464 \h </w:instrText>
        </w:r>
        <w:r>
          <w:rPr>
            <w:noProof/>
            <w:webHidden/>
          </w:rPr>
        </w:r>
        <w:r>
          <w:rPr>
            <w:noProof/>
            <w:webHidden/>
          </w:rPr>
          <w:fldChar w:fldCharType="separate"/>
        </w:r>
        <w:r>
          <w:rPr>
            <w:noProof/>
            <w:webHidden/>
          </w:rPr>
          <w:t>30</w:t>
        </w:r>
        <w:r>
          <w:rPr>
            <w:noProof/>
            <w:webHidden/>
          </w:rPr>
          <w:fldChar w:fldCharType="end"/>
        </w:r>
      </w:hyperlink>
    </w:p>
    <w:p w:rsidR="00010FD9" w:rsidRDefault="00010FD9">
      <w:pPr>
        <w:pStyle w:val="Seznamobrzk"/>
        <w:rPr>
          <w:rFonts w:asciiTheme="minorHAnsi" w:eastAsiaTheme="minorEastAsia" w:hAnsiTheme="minorHAnsi" w:cstheme="minorBidi"/>
          <w:noProof/>
          <w:sz w:val="22"/>
          <w:szCs w:val="22"/>
          <w:lang w:val="en-US" w:eastAsia="en-US"/>
        </w:rPr>
      </w:pPr>
      <w:hyperlink w:anchor="_Toc175914465" w:history="1">
        <w:r w:rsidRPr="005730FB">
          <w:rPr>
            <w:rStyle w:val="Hypertextovodkaz"/>
            <w:noProof/>
          </w:rPr>
          <w:t xml:space="preserve">Tabulka 25 Státní fond podpory investic v letech 2025 – 2027 </w:t>
        </w:r>
        <w:r w:rsidRPr="005730FB">
          <w:rPr>
            <w:rStyle w:val="Hypertextovodkaz"/>
            <w:i/>
            <w:noProof/>
          </w:rPr>
          <w:t>(v Kč)</w:t>
        </w:r>
        <w:r>
          <w:rPr>
            <w:noProof/>
            <w:webHidden/>
          </w:rPr>
          <w:tab/>
        </w:r>
        <w:r>
          <w:rPr>
            <w:noProof/>
            <w:webHidden/>
          </w:rPr>
          <w:fldChar w:fldCharType="begin"/>
        </w:r>
        <w:r>
          <w:rPr>
            <w:noProof/>
            <w:webHidden/>
          </w:rPr>
          <w:instrText xml:space="preserve"> PAGEREF _Toc175914465 \h </w:instrText>
        </w:r>
        <w:r>
          <w:rPr>
            <w:noProof/>
            <w:webHidden/>
          </w:rPr>
        </w:r>
        <w:r>
          <w:rPr>
            <w:noProof/>
            <w:webHidden/>
          </w:rPr>
          <w:fldChar w:fldCharType="separate"/>
        </w:r>
        <w:r>
          <w:rPr>
            <w:noProof/>
            <w:webHidden/>
          </w:rPr>
          <w:t>30</w:t>
        </w:r>
        <w:r>
          <w:rPr>
            <w:noProof/>
            <w:webHidden/>
          </w:rPr>
          <w:fldChar w:fldCharType="end"/>
        </w:r>
      </w:hyperlink>
    </w:p>
    <w:p w:rsidR="00010FD9" w:rsidRDefault="00010FD9">
      <w:pPr>
        <w:pStyle w:val="Seznamobrzk"/>
        <w:rPr>
          <w:rFonts w:asciiTheme="minorHAnsi" w:eastAsiaTheme="minorEastAsia" w:hAnsiTheme="minorHAnsi" w:cstheme="minorBidi"/>
          <w:noProof/>
          <w:sz w:val="22"/>
          <w:szCs w:val="22"/>
          <w:lang w:val="en-US" w:eastAsia="en-US"/>
        </w:rPr>
      </w:pPr>
      <w:hyperlink w:anchor="_Toc175914466" w:history="1">
        <w:r w:rsidRPr="005730FB">
          <w:rPr>
            <w:rStyle w:val="Hypertextovodkaz"/>
            <w:noProof/>
          </w:rPr>
          <w:t xml:space="preserve">Tabulka 26 Státní fond životního prostředí ČR v letech 2025 – 2027 </w:t>
        </w:r>
        <w:r w:rsidRPr="005730FB">
          <w:rPr>
            <w:rStyle w:val="Hypertextovodkaz"/>
            <w:i/>
            <w:noProof/>
          </w:rPr>
          <w:t>(v Kč)</w:t>
        </w:r>
        <w:r>
          <w:rPr>
            <w:noProof/>
            <w:webHidden/>
          </w:rPr>
          <w:tab/>
        </w:r>
        <w:r>
          <w:rPr>
            <w:noProof/>
            <w:webHidden/>
          </w:rPr>
          <w:fldChar w:fldCharType="begin"/>
        </w:r>
        <w:r>
          <w:rPr>
            <w:noProof/>
            <w:webHidden/>
          </w:rPr>
          <w:instrText xml:space="preserve"> PAGEREF _Toc175914466 \h </w:instrText>
        </w:r>
        <w:r>
          <w:rPr>
            <w:noProof/>
            <w:webHidden/>
          </w:rPr>
        </w:r>
        <w:r>
          <w:rPr>
            <w:noProof/>
            <w:webHidden/>
          </w:rPr>
          <w:fldChar w:fldCharType="separate"/>
        </w:r>
        <w:r>
          <w:rPr>
            <w:noProof/>
            <w:webHidden/>
          </w:rPr>
          <w:t>31</w:t>
        </w:r>
        <w:r>
          <w:rPr>
            <w:noProof/>
            <w:webHidden/>
          </w:rPr>
          <w:fldChar w:fldCharType="end"/>
        </w:r>
      </w:hyperlink>
    </w:p>
    <w:p w:rsidR="00010FD9" w:rsidRDefault="00010FD9">
      <w:pPr>
        <w:pStyle w:val="Seznamobrzk"/>
        <w:rPr>
          <w:rFonts w:asciiTheme="minorHAnsi" w:eastAsiaTheme="minorEastAsia" w:hAnsiTheme="minorHAnsi" w:cstheme="minorBidi"/>
          <w:noProof/>
          <w:sz w:val="22"/>
          <w:szCs w:val="22"/>
          <w:lang w:val="en-US" w:eastAsia="en-US"/>
        </w:rPr>
      </w:pPr>
      <w:hyperlink w:anchor="_Toc175914467" w:history="1">
        <w:r w:rsidRPr="005730FB">
          <w:rPr>
            <w:rStyle w:val="Hypertextovodkaz"/>
            <w:noProof/>
          </w:rPr>
          <w:t xml:space="preserve">Tabulka 27 Úhrnná bilance státních fondů v letech 2025 – 2027 </w:t>
        </w:r>
        <w:r w:rsidRPr="005730FB">
          <w:rPr>
            <w:rStyle w:val="Hypertextovodkaz"/>
            <w:i/>
            <w:noProof/>
          </w:rPr>
          <w:t>(v Kč)</w:t>
        </w:r>
        <w:r>
          <w:rPr>
            <w:noProof/>
            <w:webHidden/>
          </w:rPr>
          <w:tab/>
        </w:r>
        <w:r>
          <w:rPr>
            <w:noProof/>
            <w:webHidden/>
          </w:rPr>
          <w:fldChar w:fldCharType="begin"/>
        </w:r>
        <w:r>
          <w:rPr>
            <w:noProof/>
            <w:webHidden/>
          </w:rPr>
          <w:instrText xml:space="preserve"> PAGEREF _Toc175914467 \h </w:instrText>
        </w:r>
        <w:r>
          <w:rPr>
            <w:noProof/>
            <w:webHidden/>
          </w:rPr>
        </w:r>
        <w:r>
          <w:rPr>
            <w:noProof/>
            <w:webHidden/>
          </w:rPr>
          <w:fldChar w:fldCharType="separate"/>
        </w:r>
        <w:r>
          <w:rPr>
            <w:noProof/>
            <w:webHidden/>
          </w:rPr>
          <w:t>31</w:t>
        </w:r>
        <w:r>
          <w:rPr>
            <w:noProof/>
            <w:webHidden/>
          </w:rPr>
          <w:fldChar w:fldCharType="end"/>
        </w:r>
      </w:hyperlink>
    </w:p>
    <w:p w:rsidR="00010FD9" w:rsidRDefault="00010FD9">
      <w:pPr>
        <w:pStyle w:val="Seznamobrzk"/>
        <w:rPr>
          <w:rFonts w:asciiTheme="minorHAnsi" w:eastAsiaTheme="minorEastAsia" w:hAnsiTheme="minorHAnsi" w:cstheme="minorBidi"/>
          <w:noProof/>
          <w:sz w:val="22"/>
          <w:szCs w:val="22"/>
          <w:lang w:val="en-US" w:eastAsia="en-US"/>
        </w:rPr>
      </w:pPr>
      <w:hyperlink w:anchor="_Toc175914468" w:history="1">
        <w:r w:rsidRPr="005730FB">
          <w:rPr>
            <w:rStyle w:val="Hypertextovodkaz"/>
            <w:noProof/>
          </w:rPr>
          <w:t xml:space="preserve">Tabulka 28 Odhad skutečných výdajů SR na předfinancování politik EU v letech 2026 – 2027 </w:t>
        </w:r>
        <w:r w:rsidRPr="005730FB">
          <w:rPr>
            <w:rStyle w:val="Hypertextovodkaz"/>
            <w:i/>
            <w:noProof/>
          </w:rPr>
          <w:t>(v mil. Kč)</w:t>
        </w:r>
        <w:r>
          <w:rPr>
            <w:noProof/>
            <w:webHidden/>
          </w:rPr>
          <w:tab/>
        </w:r>
        <w:r>
          <w:rPr>
            <w:noProof/>
            <w:webHidden/>
          </w:rPr>
          <w:fldChar w:fldCharType="begin"/>
        </w:r>
        <w:r>
          <w:rPr>
            <w:noProof/>
            <w:webHidden/>
          </w:rPr>
          <w:instrText xml:space="preserve"> PAGEREF _Toc175914468 \h </w:instrText>
        </w:r>
        <w:r>
          <w:rPr>
            <w:noProof/>
            <w:webHidden/>
          </w:rPr>
        </w:r>
        <w:r>
          <w:rPr>
            <w:noProof/>
            <w:webHidden/>
          </w:rPr>
          <w:fldChar w:fldCharType="separate"/>
        </w:r>
        <w:r>
          <w:rPr>
            <w:noProof/>
            <w:webHidden/>
          </w:rPr>
          <w:t>34</w:t>
        </w:r>
        <w:r>
          <w:rPr>
            <w:noProof/>
            <w:webHidden/>
          </w:rPr>
          <w:fldChar w:fldCharType="end"/>
        </w:r>
      </w:hyperlink>
    </w:p>
    <w:p w:rsidR="00010FD9" w:rsidRDefault="00010FD9">
      <w:pPr>
        <w:pStyle w:val="Seznamobrzk"/>
        <w:rPr>
          <w:rFonts w:asciiTheme="minorHAnsi" w:eastAsiaTheme="minorEastAsia" w:hAnsiTheme="minorHAnsi" w:cstheme="minorBidi"/>
          <w:noProof/>
          <w:sz w:val="22"/>
          <w:szCs w:val="22"/>
          <w:lang w:val="en-US" w:eastAsia="en-US"/>
        </w:rPr>
      </w:pPr>
      <w:hyperlink w:anchor="_Toc175914469" w:history="1">
        <w:r w:rsidRPr="005730FB">
          <w:rPr>
            <w:rStyle w:val="Hypertextovodkaz"/>
            <w:noProof/>
          </w:rPr>
          <w:t xml:space="preserve">Tabulka 29 Výdaje na programy v letech 2025 – 2027 </w:t>
        </w:r>
        <w:r w:rsidRPr="005730FB">
          <w:rPr>
            <w:rStyle w:val="Hypertextovodkaz"/>
            <w:i/>
            <w:noProof/>
          </w:rPr>
          <w:t>(v mil. Kč)</w:t>
        </w:r>
        <w:r>
          <w:rPr>
            <w:noProof/>
            <w:webHidden/>
          </w:rPr>
          <w:tab/>
        </w:r>
        <w:r>
          <w:rPr>
            <w:noProof/>
            <w:webHidden/>
          </w:rPr>
          <w:fldChar w:fldCharType="begin"/>
        </w:r>
        <w:r>
          <w:rPr>
            <w:noProof/>
            <w:webHidden/>
          </w:rPr>
          <w:instrText xml:space="preserve"> PAGEREF _Toc175914469 \h </w:instrText>
        </w:r>
        <w:r>
          <w:rPr>
            <w:noProof/>
            <w:webHidden/>
          </w:rPr>
        </w:r>
        <w:r>
          <w:rPr>
            <w:noProof/>
            <w:webHidden/>
          </w:rPr>
          <w:fldChar w:fldCharType="separate"/>
        </w:r>
        <w:r>
          <w:rPr>
            <w:noProof/>
            <w:webHidden/>
          </w:rPr>
          <w:t>36</w:t>
        </w:r>
        <w:r>
          <w:rPr>
            <w:noProof/>
            <w:webHidden/>
          </w:rPr>
          <w:fldChar w:fldCharType="end"/>
        </w:r>
      </w:hyperlink>
    </w:p>
    <w:p w:rsidR="00010FD9" w:rsidRDefault="00010FD9">
      <w:pPr>
        <w:pStyle w:val="Seznamobrzk"/>
        <w:rPr>
          <w:rFonts w:asciiTheme="minorHAnsi" w:eastAsiaTheme="minorEastAsia" w:hAnsiTheme="minorHAnsi" w:cstheme="minorBidi"/>
          <w:noProof/>
          <w:sz w:val="22"/>
          <w:szCs w:val="22"/>
          <w:lang w:val="en-US" w:eastAsia="en-US"/>
        </w:rPr>
      </w:pPr>
      <w:hyperlink w:anchor="_Toc175914470" w:history="1">
        <w:r w:rsidRPr="005730FB">
          <w:rPr>
            <w:rStyle w:val="Hypertextovodkaz"/>
            <w:noProof/>
          </w:rPr>
          <w:t>Tabulka 30 Vývoj státního dluhu a jeho podíl na HDP v letech 2014 – 2027</w:t>
        </w:r>
        <w:r>
          <w:rPr>
            <w:noProof/>
            <w:webHidden/>
          </w:rPr>
          <w:tab/>
        </w:r>
        <w:r>
          <w:rPr>
            <w:noProof/>
            <w:webHidden/>
          </w:rPr>
          <w:fldChar w:fldCharType="begin"/>
        </w:r>
        <w:r>
          <w:rPr>
            <w:noProof/>
            <w:webHidden/>
          </w:rPr>
          <w:instrText xml:space="preserve"> PAGEREF _Toc175914470 \h </w:instrText>
        </w:r>
        <w:r>
          <w:rPr>
            <w:noProof/>
            <w:webHidden/>
          </w:rPr>
        </w:r>
        <w:r>
          <w:rPr>
            <w:noProof/>
            <w:webHidden/>
          </w:rPr>
          <w:fldChar w:fldCharType="separate"/>
        </w:r>
        <w:r>
          <w:rPr>
            <w:noProof/>
            <w:webHidden/>
          </w:rPr>
          <w:t>38</w:t>
        </w:r>
        <w:r>
          <w:rPr>
            <w:noProof/>
            <w:webHidden/>
          </w:rPr>
          <w:fldChar w:fldCharType="end"/>
        </w:r>
      </w:hyperlink>
    </w:p>
    <w:p w:rsidR="00010FD9" w:rsidRDefault="00010FD9">
      <w:pPr>
        <w:pStyle w:val="Seznamobrzk"/>
        <w:rPr>
          <w:rFonts w:asciiTheme="minorHAnsi" w:eastAsiaTheme="minorEastAsia" w:hAnsiTheme="minorHAnsi" w:cstheme="minorBidi"/>
          <w:noProof/>
          <w:sz w:val="22"/>
          <w:szCs w:val="22"/>
          <w:lang w:val="en-US" w:eastAsia="en-US"/>
        </w:rPr>
      </w:pPr>
      <w:hyperlink w:anchor="_Toc175914471" w:history="1">
        <w:r w:rsidRPr="005730FB">
          <w:rPr>
            <w:rStyle w:val="Hypertextovodkaz"/>
            <w:noProof/>
          </w:rPr>
          <w:t xml:space="preserve">Tabulka 31 Základní ukazatele státního rozpočtu v kapitole Státní dluh v letech 2019 – 2027 </w:t>
        </w:r>
        <w:r w:rsidRPr="005730FB">
          <w:rPr>
            <w:rStyle w:val="Hypertextovodkaz"/>
            <w:i/>
            <w:noProof/>
          </w:rPr>
          <w:t>(v mil. Kč)</w:t>
        </w:r>
        <w:r>
          <w:rPr>
            <w:noProof/>
            <w:webHidden/>
          </w:rPr>
          <w:tab/>
        </w:r>
        <w:r>
          <w:rPr>
            <w:noProof/>
            <w:webHidden/>
          </w:rPr>
          <w:fldChar w:fldCharType="begin"/>
        </w:r>
        <w:r>
          <w:rPr>
            <w:noProof/>
            <w:webHidden/>
          </w:rPr>
          <w:instrText xml:space="preserve"> PAGEREF _Toc175914471 \h </w:instrText>
        </w:r>
        <w:r>
          <w:rPr>
            <w:noProof/>
            <w:webHidden/>
          </w:rPr>
        </w:r>
        <w:r>
          <w:rPr>
            <w:noProof/>
            <w:webHidden/>
          </w:rPr>
          <w:fldChar w:fldCharType="separate"/>
        </w:r>
        <w:r>
          <w:rPr>
            <w:noProof/>
            <w:webHidden/>
          </w:rPr>
          <w:t>39</w:t>
        </w:r>
        <w:r>
          <w:rPr>
            <w:noProof/>
            <w:webHidden/>
          </w:rPr>
          <w:fldChar w:fldCharType="end"/>
        </w:r>
      </w:hyperlink>
    </w:p>
    <w:p w:rsidR="00332D4D" w:rsidRPr="00703196" w:rsidRDefault="00332D4D" w:rsidP="00332D4D">
      <w:pPr>
        <w:pStyle w:val="Seznamobrzk"/>
      </w:pPr>
      <w:r w:rsidRPr="00703196">
        <w:rPr>
          <w:noProof/>
        </w:rPr>
        <w:fldChar w:fldCharType="end"/>
      </w:r>
    </w:p>
    <w:p w:rsidR="00332D4D" w:rsidRDefault="00332D4D" w:rsidP="00332D4D">
      <w:pPr>
        <w:sectPr w:rsidR="00332D4D" w:rsidSect="009778E2">
          <w:headerReference w:type="default" r:id="rId14"/>
          <w:type w:val="continuous"/>
          <w:pgSz w:w="11906" w:h="16838" w:code="9"/>
          <w:pgMar w:top="1134" w:right="1134" w:bottom="1418" w:left="1134" w:header="709" w:footer="709" w:gutter="0"/>
          <w:pgNumType w:start="1"/>
          <w:cols w:space="709"/>
          <w:docGrid w:linePitch="360"/>
        </w:sectPr>
      </w:pPr>
    </w:p>
    <w:p w:rsidR="00A53081" w:rsidRPr="007F3460" w:rsidRDefault="00337956" w:rsidP="00037618">
      <w:pPr>
        <w:pStyle w:val="Nadpis1"/>
        <w:tabs>
          <w:tab w:val="clear" w:pos="6663"/>
          <w:tab w:val="num" w:pos="6096"/>
        </w:tabs>
        <w:ind w:left="567"/>
      </w:pPr>
      <w:bookmarkStart w:id="0" w:name="_Toc525714682"/>
      <w:bookmarkStart w:id="1" w:name="_Toc14695473"/>
      <w:bookmarkStart w:id="2" w:name="_Toc175914406"/>
      <w:r w:rsidRPr="007F3460">
        <w:lastRenderedPageBreak/>
        <w:t>Úvod a shrnutí</w:t>
      </w:r>
      <w:bookmarkEnd w:id="2"/>
    </w:p>
    <w:p w:rsidR="00343D0C" w:rsidRDefault="00343D0C" w:rsidP="00343D0C">
      <w:pPr>
        <w:pStyle w:val="ZKDvousloupcov"/>
      </w:pPr>
      <w:r w:rsidRPr="008110F1">
        <w:t xml:space="preserve">Globální hospodářský růst </w:t>
      </w:r>
      <w:r>
        <w:t xml:space="preserve">je nadále </w:t>
      </w:r>
      <w:r w:rsidRPr="008110F1">
        <w:t>limitován restriktivní měnovou politikou a zvýšenou geopolitickou nestabil</w:t>
      </w:r>
      <w:r>
        <w:t>itou. Mezinárodní obchod brzdí</w:t>
      </w:r>
      <w:r w:rsidRPr="008110F1">
        <w:t xml:space="preserve"> logistické problémy dané probíhajícími ozbrojenými konflikty a s tím spojené prodlužování dodavatelských lhůt. </w:t>
      </w:r>
      <w:r>
        <w:t>Hospodářský růst v eurozóně bude i letos nevýrazný, v příštím roce by však mohl zrychlit na 1,3 %.</w:t>
      </w:r>
    </w:p>
    <w:p w:rsidR="00343D0C" w:rsidRDefault="00343D0C" w:rsidP="00343D0C">
      <w:r>
        <w:t>Česká ekonomika v minulém roce stagnovala. Hrubý domácí produkt klesl o 0,1 %, letos však podle makroekonomického rámce vzroste o 1,1 % a v příštím roce o 2,7 %. Meziroční inflace by se v celém horizontu rámce měla pohybovat poblíž 2 </w:t>
      </w:r>
      <w:r w:rsidRPr="00A8033B">
        <w:t>%. Díky přetrvávající</w:t>
      </w:r>
      <w:r>
        <w:t xml:space="preserve"> silné poptávce po práci a poklesu inflace porostou reálné mzdy.</w:t>
      </w:r>
    </w:p>
    <w:p w:rsidR="00343D0C" w:rsidRDefault="00343D0C" w:rsidP="00343D0C">
      <w:r w:rsidRPr="00F962A5">
        <w:t xml:space="preserve">Hospodaření </w:t>
      </w:r>
      <w:r w:rsidRPr="00F962A5">
        <w:rPr>
          <w:b/>
        </w:rPr>
        <w:t>veřejných financí</w:t>
      </w:r>
      <w:r w:rsidRPr="00F962A5">
        <w:t xml:space="preserve"> </w:t>
      </w:r>
      <w:r w:rsidRPr="00F962A5">
        <w:rPr>
          <w:bCs/>
        </w:rPr>
        <w:t>v roce 2024</w:t>
      </w:r>
      <w:r w:rsidRPr="00F962A5">
        <w:t xml:space="preserve"> je ovlivněno jak ukončením většiny dočasných opatření přijatých v reakci na energetickou krizi, tak přijetím konsolidačního balíčku. Očekáváme, že saldo sektoru vládních institucí dosáhne −2,5 % HDP, což by znamenalo meziroční zlepšení hospodaření o více než 1 procentní bod. S ohledem na legislativní nastavení podmínek výpočtu výdajových rámců by měla být </w:t>
      </w:r>
      <w:r w:rsidRPr="00F962A5">
        <w:rPr>
          <w:b/>
        </w:rPr>
        <w:t>fiskální politika</w:t>
      </w:r>
      <w:r w:rsidRPr="00F962A5">
        <w:t xml:space="preserve"> nastavena restriktivně. V případě </w:t>
      </w:r>
      <w:r w:rsidRPr="00F962A5">
        <w:rPr>
          <w:b/>
          <w:bCs/>
        </w:rPr>
        <w:t>měnové politiky</w:t>
      </w:r>
      <w:r w:rsidRPr="00F962A5">
        <w:t xml:space="preserve"> předpokládáme, že Česká národní banka bude v roce 2024 i 2025 dvoutýdenní repo sazbu dále, byť již jen zvolna, snižovat.</w:t>
      </w:r>
    </w:p>
    <w:p w:rsidR="00337956" w:rsidRPr="002A23FD" w:rsidRDefault="00337956" w:rsidP="00C43D9D">
      <w:pPr>
        <w:rPr>
          <w:highlight w:val="cyan"/>
        </w:rPr>
        <w:sectPr w:rsidR="00337956" w:rsidRPr="002A23FD" w:rsidSect="000A41C3">
          <w:headerReference w:type="default" r:id="rId15"/>
          <w:footerReference w:type="even" r:id="rId16"/>
          <w:footerReference w:type="default" r:id="rId17"/>
          <w:type w:val="continuous"/>
          <w:pgSz w:w="11906" w:h="16838" w:code="9"/>
          <w:pgMar w:top="1134" w:right="1134" w:bottom="1418" w:left="1134" w:header="709" w:footer="709" w:gutter="0"/>
          <w:pgNumType w:start="1"/>
          <w:cols w:space="397"/>
          <w:docGrid w:linePitch="360"/>
        </w:sectPr>
      </w:pPr>
    </w:p>
    <w:bookmarkEnd w:id="0"/>
    <w:bookmarkEnd w:id="1"/>
    <w:p w:rsidR="00343D0C" w:rsidRPr="00E663E3" w:rsidRDefault="00343D0C" w:rsidP="00343D0C">
      <w:r>
        <w:t xml:space="preserve">Česká ekonomika v roce 2023 stagnovala, letos by však </w:t>
      </w:r>
      <w:r w:rsidRPr="0CE36752">
        <w:rPr>
          <w:b/>
          <w:bCs/>
        </w:rPr>
        <w:t>hrubý domácí produkt</w:t>
      </w:r>
      <w:r>
        <w:t xml:space="preserve"> měl </w:t>
      </w:r>
      <w:r w:rsidRPr="0CE36752">
        <w:rPr>
          <w:b/>
          <w:bCs/>
        </w:rPr>
        <w:t>vzrůst o</w:t>
      </w:r>
      <w:r>
        <w:rPr>
          <w:b/>
          <w:bCs/>
        </w:rPr>
        <w:t> </w:t>
      </w:r>
      <w:r w:rsidRPr="0CE36752">
        <w:rPr>
          <w:b/>
          <w:bCs/>
        </w:rPr>
        <w:t>1,1</w:t>
      </w:r>
      <w:r>
        <w:rPr>
          <w:b/>
          <w:bCs/>
        </w:rPr>
        <w:t> </w:t>
      </w:r>
      <w:r w:rsidRPr="0CE36752">
        <w:rPr>
          <w:b/>
          <w:bCs/>
        </w:rPr>
        <w:t>%</w:t>
      </w:r>
      <w:r>
        <w:t xml:space="preserve">. Vlivem poklesu inflace a přetrvávajícího napětí na trhu práce porostou reálné mzdy, soukromou spotřebu navíc podpoří také větší ochota domácností utrácet. Růst spotřeby sektoru vládních institucí by měl zvolnit, mj. v souvislosti s konsolidací veřejných financí. Investiční aktivita bude tlumena nižšími výdaji nejen soukromého, ale i vládního sektoru. Negativně se projeví přechod mezi finančními perspektivami u kohezních fondů EU. Změna stavu zásob bude hospodářský růst dále tlumit, i když ne tak silně jako v minulém roce. Saldo zahraničního obchodu by na růst HDP mělo působit pozitivně, a to především v souvislosti s oslabením dovozně náročných složek domácí poptávky. </w:t>
      </w:r>
      <w:r w:rsidRPr="0CE36752">
        <w:rPr>
          <w:b/>
          <w:bCs/>
        </w:rPr>
        <w:t xml:space="preserve">V roce 2025 </w:t>
      </w:r>
      <w:r>
        <w:t>by česká ekonomika v důsledku silnější dynamiky spotřeby i investic a příznivějšího hospodářského vývoje v zahraničí mohla</w:t>
      </w:r>
      <w:r w:rsidRPr="0CE36752">
        <w:rPr>
          <w:b/>
          <w:bCs/>
        </w:rPr>
        <w:t xml:space="preserve"> vzrůst o 2,7</w:t>
      </w:r>
      <w:r>
        <w:rPr>
          <w:b/>
          <w:bCs/>
        </w:rPr>
        <w:t> </w:t>
      </w:r>
      <w:r w:rsidRPr="0CE36752">
        <w:rPr>
          <w:b/>
          <w:bCs/>
        </w:rPr>
        <w:t>%</w:t>
      </w:r>
      <w:r>
        <w:t>, robustnější oživení domácí poptávky však zároveň podpoří dovoz.</w:t>
      </w:r>
    </w:p>
    <w:p w:rsidR="00343D0C" w:rsidRPr="00E663E3" w:rsidRDefault="00343D0C" w:rsidP="00343D0C">
      <w:r>
        <w:t xml:space="preserve">Meziroční </w:t>
      </w:r>
      <w:r w:rsidRPr="0CE36752">
        <w:rPr>
          <w:b/>
          <w:bCs/>
        </w:rPr>
        <w:t>inflace</w:t>
      </w:r>
      <w:r>
        <w:t xml:space="preserve"> se na počátku letošního roku po třech letech dostala do blízkosti inflačního cíle České národní banky a v tolerančním pásmu by se měla pohybovat i po zbytek roku. Proinflační zahraniční nabídkové faktory výrazně oslabily. Domácí poptávkové tlaky jsou dále tlumeny zvýšenými měnověpolitickými sazbami, k čemuž letos navíc přispívá restriktivní působení fiskálního konsolidačního balíčku. Průměrná míra inflace by tak letos mohla klesnout na 2,4 % a v roce 2025 dále na 2,3 %.</w:t>
      </w:r>
    </w:p>
    <w:p w:rsidR="00343D0C" w:rsidRPr="007F3460" w:rsidRDefault="00343D0C" w:rsidP="00343D0C">
      <w:r>
        <w:t xml:space="preserve">Na </w:t>
      </w:r>
      <w:r w:rsidRPr="0CE36752">
        <w:rPr>
          <w:b/>
          <w:bCs/>
        </w:rPr>
        <w:t>trhu práce</w:t>
      </w:r>
      <w:r>
        <w:t xml:space="preserve"> se nadále projevují nerovnováhy související s nedostatkem pracovníků. V důsledku toho by navzdory slabé hospodářské dynamice neměla míra nezaměstnanosti v roce 2024 příliš vzrůst. Z 2,6 % v roce 2023 by se letos mohla zvýšit na 2,8 %, v roce 2025 by </w:t>
      </w:r>
      <w:r w:rsidRPr="00A8033B">
        <w:t>pak díky růstu</w:t>
      </w:r>
      <w:r>
        <w:t xml:space="preserve"> ekonomiky mohla nepatrně klesnout. Přetrvávající napětí na trhu práce nedovolí výraznější zpomalení růstu nominálních mezd. Výdělky po dvou letech poklesu porostou </w:t>
      </w:r>
      <w:r w:rsidRPr="007F3460">
        <w:t>i v reálném vyjádření.</w:t>
      </w:r>
    </w:p>
    <w:p w:rsidR="00B41B9D" w:rsidRPr="007F3460" w:rsidRDefault="00B41B9D" w:rsidP="0F4F7CD5">
      <w:pPr>
        <w:rPr>
          <w:rFonts w:eastAsia="Calibri" w:cs="Calibri"/>
        </w:rPr>
        <w:sectPr w:rsidR="00B41B9D" w:rsidRPr="007F3460" w:rsidSect="007A1923">
          <w:type w:val="continuous"/>
          <w:pgSz w:w="11906" w:h="16838" w:code="9"/>
          <w:pgMar w:top="1134" w:right="1134" w:bottom="1418" w:left="1134" w:header="709" w:footer="709" w:gutter="0"/>
          <w:cols w:num="2" w:space="397"/>
          <w:docGrid w:linePitch="360"/>
        </w:sectPr>
      </w:pPr>
    </w:p>
    <w:p w:rsidR="00A55CCA" w:rsidRPr="007F3460" w:rsidRDefault="00A55CCA" w:rsidP="00A55CCA">
      <w:pPr>
        <w:pStyle w:val="SRtitulek1"/>
      </w:pPr>
      <w:bookmarkStart w:id="3" w:name="_Toc175914441"/>
      <w:r w:rsidRPr="007F3460">
        <w:t xml:space="preserve">Tabulka </w:t>
      </w:r>
      <w:fldSimple w:instr=" SEQ Tabulka \* ARABIC ">
        <w:r w:rsidR="001773BF">
          <w:rPr>
            <w:noProof/>
          </w:rPr>
          <w:t>1</w:t>
        </w:r>
      </w:fldSimple>
      <w:r w:rsidRPr="007F3460">
        <w:t xml:space="preserve"> Predikce základních makroekonomických indikátorů</w:t>
      </w:r>
      <w:bookmarkEnd w:id="3"/>
    </w:p>
    <w:p w:rsidR="00A53081" w:rsidRPr="007F3460" w:rsidRDefault="007F3460" w:rsidP="00A53081">
      <w:pPr>
        <w:spacing w:after="0"/>
        <w:rPr>
          <w:noProof/>
        </w:rPr>
      </w:pPr>
      <w:r w:rsidRPr="007F3460">
        <w:rPr>
          <w:noProof/>
          <w:lang w:val="en-US" w:eastAsia="en-US"/>
        </w:rPr>
        <w:drawing>
          <wp:inline distT="0" distB="0" distL="0" distR="0">
            <wp:extent cx="5838825" cy="3209540"/>
            <wp:effectExtent l="0" t="0" r="0" b="0"/>
            <wp:docPr id="23" name="Obráze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49921" cy="3215639"/>
                    </a:xfrm>
                    <a:prstGeom prst="rect">
                      <a:avLst/>
                    </a:prstGeom>
                    <a:noFill/>
                    <a:ln>
                      <a:noFill/>
                    </a:ln>
                  </pic:spPr>
                </pic:pic>
              </a:graphicData>
            </a:graphic>
          </wp:inline>
        </w:drawing>
      </w:r>
    </w:p>
    <w:p w:rsidR="008B0ED2" w:rsidRPr="007F3460" w:rsidRDefault="00332D4D" w:rsidP="00A63B39">
      <w:pPr>
        <w:pStyle w:val="Zdrojpodtabulkounebografem"/>
        <w:spacing w:after="0"/>
      </w:pPr>
      <w:r w:rsidRPr="007F3460">
        <w:t>Zdroj: MF</w:t>
      </w:r>
      <w:r w:rsidR="00A53081" w:rsidRPr="007F3460">
        <w:t> ČR</w:t>
      </w:r>
      <w:r w:rsidRPr="007F3460">
        <w:t>: Makroekonomická predikce ČR</w:t>
      </w:r>
      <w:r w:rsidR="00A53081" w:rsidRPr="007F3460">
        <w:t xml:space="preserve"> (</w:t>
      </w:r>
      <w:r w:rsidR="005C493F" w:rsidRPr="007F3460">
        <w:t>srpen</w:t>
      </w:r>
      <w:r w:rsidR="00C755B5" w:rsidRPr="007F3460">
        <w:t xml:space="preserve"> 202</w:t>
      </w:r>
      <w:r w:rsidR="007F3460" w:rsidRPr="007F3460">
        <w:t>4</w:t>
      </w:r>
      <w:r w:rsidR="00C755B5" w:rsidRPr="007F3460">
        <w:t>)</w:t>
      </w:r>
      <w:r w:rsidRPr="007F3460">
        <w:t>.</w:t>
      </w:r>
    </w:p>
    <w:p w:rsidR="00337956" w:rsidRPr="007F3460" w:rsidRDefault="00337956" w:rsidP="00037618">
      <w:pPr>
        <w:pStyle w:val="Nadpis1"/>
        <w:tabs>
          <w:tab w:val="clear" w:pos="6663"/>
          <w:tab w:val="num" w:pos="6237"/>
        </w:tabs>
        <w:ind w:left="567"/>
      </w:pPr>
      <w:bookmarkStart w:id="4" w:name="_Toc175914407"/>
      <w:r w:rsidRPr="007F3460">
        <w:lastRenderedPageBreak/>
        <w:t>Makroekonomický rámec</w:t>
      </w:r>
      <w:bookmarkEnd w:id="4"/>
    </w:p>
    <w:p w:rsidR="00A53081" w:rsidRPr="002A23FD" w:rsidRDefault="00343D0C" w:rsidP="00A53081">
      <w:pPr>
        <w:rPr>
          <w:highlight w:val="cyan"/>
        </w:rPr>
        <w:sectPr w:rsidR="00A53081" w:rsidRPr="002A23FD" w:rsidSect="007A1923">
          <w:type w:val="continuous"/>
          <w:pgSz w:w="11906" w:h="16838" w:code="9"/>
          <w:pgMar w:top="1134" w:right="1134" w:bottom="1418" w:left="1134" w:header="709" w:footer="709" w:gutter="0"/>
          <w:cols w:space="397"/>
          <w:docGrid w:linePitch="360"/>
        </w:sectPr>
      </w:pPr>
      <w:r>
        <w:t xml:space="preserve">Makroekonomický rámec střednědobého výhledu státního rozpočtu na roky 2026 a 2027 vychází z Makroekonomické predikce Ministerstva financí ze srpna 2024 a navazuje na makroekonomický rámec státního rozpočtu na rok 2025 </w:t>
      </w:r>
      <w:r w:rsidR="0045111C" w:rsidRPr="0045111C">
        <w:t>(část D. rozpočtové dokumentace).</w:t>
      </w:r>
    </w:p>
    <w:p w:rsidR="00DC529E" w:rsidRPr="002A23FD" w:rsidRDefault="00343D0C" w:rsidP="0F4F7CD5">
      <w:pPr>
        <w:rPr>
          <w:highlight w:val="cyan"/>
        </w:rPr>
      </w:pPr>
      <w:r w:rsidRPr="00343D0C">
        <w:t xml:space="preserve">Makroekonomický rámec vychází z nejpravděpodobnějšího scénáře budoucího vývoje založeného na datech, opatřeních a politikách známých v srpnu 2024. Budoucí vývoj je nicméně zatížen množstvím </w:t>
      </w:r>
      <w:r w:rsidRPr="00343D0C">
        <w:rPr>
          <w:b/>
          <w:bCs/>
        </w:rPr>
        <w:t>rizik</w:t>
      </w:r>
      <w:r w:rsidRPr="00343D0C">
        <w:t xml:space="preserve">, která v úhrnu považujeme za </w:t>
      </w:r>
      <w:r w:rsidRPr="00343D0C">
        <w:rPr>
          <w:b/>
          <w:bCs/>
        </w:rPr>
        <w:t>vychýlená směrem dolů</w:t>
      </w:r>
      <w:r w:rsidRPr="00343D0C">
        <w:t xml:space="preserve">. Hospodářskou aktivitu v některých odvětvích ekonomiky může utlumit obnovení problémů v dodavatelských řetězcích, např. v souvislosti se situací na Středním východě. Kromě negativního dopadu na ekonomický výkon by problémy na straně nabídky vytvářely dodatečné inflační tlaky. Ty by </w:t>
      </w:r>
      <w:r w:rsidRPr="00343D0C">
        <w:t>mohly být vyvolány také nárůstem cen energetických komodit v případě eskalace geopolitického napětí, popř. zaváděním či zvyšováním cel nebo jiných překážek v zahraničním obchodě. Vzhledem k významnému obchodnímu propojení české a německé ekonomiky považujeme za negativní riziko predikce též strukturální problémy a slabý hospodářský růst Německa. Pro českou ekonomiku je rizikem rovněž perzistence cen ve službách a také vývoj inflačních očekávání. Ekonomický růst podporuje zapojení uprchlíků z Ukrajiny na trhu práce, plné využití jejich lidského kapitálu by pak mohlo posílit produktivitu práce.</w:t>
      </w:r>
    </w:p>
    <w:p w:rsidR="008B0ED2" w:rsidRPr="002A23FD" w:rsidRDefault="008B0ED2" w:rsidP="00104BD9">
      <w:pPr>
        <w:pStyle w:val="Nadpis2"/>
        <w:rPr>
          <w:highlight w:val="cyan"/>
        </w:rPr>
        <w:sectPr w:rsidR="008B0ED2" w:rsidRPr="002A23FD" w:rsidSect="008B0ED2">
          <w:type w:val="continuous"/>
          <w:pgSz w:w="11906" w:h="16838" w:code="9"/>
          <w:pgMar w:top="1134" w:right="1134" w:bottom="1418" w:left="1134" w:header="709" w:footer="709" w:gutter="0"/>
          <w:cols w:num="2" w:space="397"/>
          <w:docGrid w:linePitch="360"/>
        </w:sectPr>
      </w:pPr>
      <w:bookmarkStart w:id="5" w:name="_Toc515545974"/>
      <w:bookmarkStart w:id="6" w:name="_Toc525714683"/>
    </w:p>
    <w:p w:rsidR="00332D4D" w:rsidRPr="000620C3" w:rsidRDefault="008B0ED2" w:rsidP="00104BD9">
      <w:pPr>
        <w:pStyle w:val="Nadpis2"/>
      </w:pPr>
      <w:bookmarkStart w:id="7" w:name="_Toc525714684"/>
      <w:bookmarkStart w:id="8" w:name="_Toc14695474"/>
      <w:bookmarkStart w:id="9" w:name="_Toc175914408"/>
      <w:bookmarkEnd w:id="5"/>
      <w:bookmarkEnd w:id="6"/>
      <w:r w:rsidRPr="000620C3">
        <w:t>Předpoklady budoucího vývoje</w:t>
      </w:r>
      <w:bookmarkEnd w:id="7"/>
      <w:bookmarkEnd w:id="8"/>
      <w:bookmarkEnd w:id="9"/>
    </w:p>
    <w:p w:rsidR="00332D4D" w:rsidRPr="000620C3" w:rsidRDefault="00332D4D" w:rsidP="00332D4D">
      <w:pPr>
        <w:sectPr w:rsidR="00332D4D" w:rsidRPr="000620C3" w:rsidSect="007A1923">
          <w:type w:val="continuous"/>
          <w:pgSz w:w="11906" w:h="16838" w:code="9"/>
          <w:pgMar w:top="1134" w:right="1134" w:bottom="1418" w:left="1134" w:header="709" w:footer="709" w:gutter="0"/>
          <w:cols w:space="709"/>
          <w:docGrid w:linePitch="360"/>
        </w:sectPr>
      </w:pPr>
    </w:p>
    <w:p w:rsidR="00332D4D" w:rsidRPr="000620C3" w:rsidRDefault="008B0ED2" w:rsidP="00027D0D">
      <w:pPr>
        <w:pStyle w:val="Nadpis3"/>
        <w:spacing w:before="0"/>
      </w:pPr>
      <w:bookmarkStart w:id="10" w:name="_Toc525714685"/>
      <w:r w:rsidRPr="000620C3">
        <w:t>Vnější prostředí</w:t>
      </w:r>
      <w:bookmarkEnd w:id="10"/>
    </w:p>
    <w:p w:rsidR="00343D0C" w:rsidRDefault="00343D0C" w:rsidP="00343D0C">
      <w:r w:rsidRPr="3B3A238B">
        <w:rPr>
          <w:rFonts w:eastAsia="Calibri" w:cs="Calibri"/>
          <w:b/>
          <w:bCs/>
        </w:rPr>
        <w:t xml:space="preserve">Globální hospodářský růst </w:t>
      </w:r>
      <w:r w:rsidRPr="3B3A238B">
        <w:rPr>
          <w:rFonts w:eastAsia="Calibri" w:cs="Calibri"/>
        </w:rPr>
        <w:t xml:space="preserve">byl i v 1. polovině 2024 limitován restriktivní měnovou politikou v řadě zemí a zvýšenou geopolitickou nestabilitou. Mezinárodní obchod brzdily logistické problémy dané probíhajícími ozbrojenými konflikty. Proces dezinflace bude i nadále působit pozitivně, nicméně jeho efekt </w:t>
      </w:r>
      <w:r w:rsidRPr="00D15E72">
        <w:rPr>
          <w:rFonts w:eastAsia="Calibri" w:cs="Calibri"/>
        </w:rPr>
        <w:t>s tím</w:t>
      </w:r>
      <w:r>
        <w:rPr>
          <w:rFonts w:eastAsia="Calibri" w:cs="Calibri"/>
        </w:rPr>
        <w:t>,</w:t>
      </w:r>
      <w:r w:rsidRPr="3B3A238B">
        <w:rPr>
          <w:rFonts w:eastAsia="Calibri" w:cs="Calibri"/>
        </w:rPr>
        <w:t xml:space="preserve"> jak se ekonomiky blíží svému inflačnímu cíli, bude slábnout.</w:t>
      </w:r>
      <w:r>
        <w:t xml:space="preserve"> </w:t>
      </w:r>
      <w:r w:rsidRPr="3B3A238B">
        <w:rPr>
          <w:rFonts w:eastAsia="Calibri" w:cs="Calibri"/>
        </w:rPr>
        <w:t xml:space="preserve">Spotřebu a soukromé investice podpoří očekávané snižování úrokových sazeb ze strany Fedu a </w:t>
      </w:r>
      <w:r>
        <w:rPr>
          <w:rFonts w:eastAsia="Calibri" w:cs="Calibri"/>
        </w:rPr>
        <w:t>Evropské centrální banky</w:t>
      </w:r>
      <w:r w:rsidRPr="3B3A238B">
        <w:rPr>
          <w:rFonts w:eastAsia="Calibri" w:cs="Calibri"/>
        </w:rPr>
        <w:t>.</w:t>
      </w:r>
      <w:r>
        <w:rPr>
          <w:rFonts w:eastAsia="Calibri" w:cs="Calibri"/>
        </w:rPr>
        <w:t xml:space="preserve"> </w:t>
      </w:r>
      <w:r w:rsidRPr="3B3A238B">
        <w:rPr>
          <w:rFonts w:eastAsia="Calibri" w:cs="Calibri"/>
        </w:rPr>
        <w:t>S ohledem na tyto faktory a přetrvávající rizika růst světové ekonomiky</w:t>
      </w:r>
      <w:r w:rsidRPr="3B3A238B">
        <w:rPr>
          <w:rFonts w:eastAsia="Calibri" w:cs="Calibri"/>
          <w:b/>
          <w:bCs/>
        </w:rPr>
        <w:t xml:space="preserve"> </w:t>
      </w:r>
      <w:r>
        <w:rPr>
          <w:rFonts w:eastAsia="Calibri" w:cs="Calibri"/>
        </w:rPr>
        <w:t xml:space="preserve">v roce 2024 patrně zpomalí pod 3 %, </w:t>
      </w:r>
      <w:r w:rsidRPr="3B3A238B">
        <w:rPr>
          <w:rFonts w:eastAsia="Calibri" w:cs="Calibri"/>
        </w:rPr>
        <w:t>v roce 2025 by ovšem díky očekávanému zlepšení situace v mezinárodním obchodě mohl zrychlit.</w:t>
      </w:r>
    </w:p>
    <w:p w:rsidR="00343D0C" w:rsidRDefault="00343D0C" w:rsidP="00343D0C">
      <w:r w:rsidRPr="3B3A238B">
        <w:rPr>
          <w:rFonts w:eastAsia="Calibri" w:cs="Calibri"/>
        </w:rPr>
        <w:t xml:space="preserve">Růst ekonomiky </w:t>
      </w:r>
      <w:r w:rsidRPr="3B3A238B">
        <w:rPr>
          <w:rFonts w:eastAsia="Calibri" w:cs="Calibri"/>
          <w:b/>
          <w:bCs/>
        </w:rPr>
        <w:t>Spojených států amerických</w:t>
      </w:r>
      <w:r w:rsidRPr="3B3A238B">
        <w:rPr>
          <w:rFonts w:eastAsia="Calibri" w:cs="Calibri"/>
        </w:rPr>
        <w:t xml:space="preserve"> pokračuje, v </w:t>
      </w:r>
      <w:r>
        <w:rPr>
          <w:rFonts w:eastAsia="Calibri" w:cs="Calibri"/>
        </w:rPr>
        <w:t>1. </w:t>
      </w:r>
      <w:r w:rsidRPr="3B3A238B">
        <w:rPr>
          <w:rFonts w:eastAsia="Calibri" w:cs="Calibri"/>
        </w:rPr>
        <w:t xml:space="preserve">polovině tohoto roku se HDP meziročně zvýšil o 3,0 %. Míra nezaměstnanosti </w:t>
      </w:r>
      <w:r>
        <w:rPr>
          <w:rFonts w:eastAsia="Calibri" w:cs="Calibri"/>
        </w:rPr>
        <w:t xml:space="preserve">však </w:t>
      </w:r>
      <w:r w:rsidRPr="3B3A238B">
        <w:rPr>
          <w:rFonts w:eastAsia="Calibri" w:cs="Calibri"/>
        </w:rPr>
        <w:t>v letošním roce zvolna roste. V červenci dosáhla 4,3 %, a byla tak nejvyšší za téměř 3 roky. Trh práce přesto zůstává relativně napjatý, což spolu s poklesem inflace podporuje růst reálných mezd.</w:t>
      </w:r>
    </w:p>
    <w:p w:rsidR="00343D0C" w:rsidRDefault="00343D0C" w:rsidP="00343D0C">
      <w:r>
        <w:t>Očekáváme, že ekonomika Spojených států v roce 2024 vzroste o 2,6 %, přičemž hospodářskou aktivitu by měly táhnout spotřební výdaje domácností podpořené růstem reálných mezd. V roce 2025 by růst HDP v důsledku nižšího carry-over efektu (statistický příspěvek růstového profilu v předchozím roce k celoročnímu růstu) mohl zpomalit na 2,0 %. Pozitivně by na růstovou dynamiku vlivem očekávaného uvolňování měnové politiky měla působit investiční aktivita.</w:t>
      </w:r>
    </w:p>
    <w:p w:rsidR="00343D0C" w:rsidRDefault="00343D0C" w:rsidP="00343D0C">
      <w:r w:rsidRPr="3B3A238B">
        <w:rPr>
          <w:rFonts w:eastAsia="Calibri" w:cs="Calibri"/>
        </w:rPr>
        <w:t xml:space="preserve">K mírnému hospodářskému oživení </w:t>
      </w:r>
      <w:r w:rsidRPr="3B3A238B">
        <w:rPr>
          <w:rFonts w:eastAsia="Calibri" w:cs="Calibri"/>
          <w:b/>
          <w:bCs/>
        </w:rPr>
        <w:t xml:space="preserve">eurozóny </w:t>
      </w:r>
      <w:r w:rsidRPr="3B3A238B">
        <w:rPr>
          <w:rFonts w:eastAsia="Calibri" w:cs="Calibri"/>
        </w:rPr>
        <w:t xml:space="preserve">v 1. polovině 2024 přispěl především </w:t>
      </w:r>
      <w:r>
        <w:rPr>
          <w:rFonts w:eastAsia="Calibri" w:cs="Calibri"/>
        </w:rPr>
        <w:t>pokles inflace</w:t>
      </w:r>
      <w:r w:rsidRPr="3B3A238B">
        <w:rPr>
          <w:rFonts w:eastAsia="Calibri" w:cs="Calibri"/>
        </w:rPr>
        <w:t xml:space="preserve">, silný trh práce a odeznění problémů v dodavatelských řetězcích. </w:t>
      </w:r>
      <w:r>
        <w:t xml:space="preserve">Meziroční inflace v červenci nepatrně vzrostla na 2,6 %, posledních 6 měsíců se nicméně drží v těsné blízkosti 2,5 %. </w:t>
      </w:r>
      <w:r>
        <w:t>Zastavil se také pokles jádrové inflace (tedy míry inflace bez cen potravin, alkoholu, tabáku a energií), která již třetím měsícem setrvala na 2,9 %. Míra nezaměstnanosti víceméně stagnuje na úrovních okolo 6,5 % a nadále dosahuje historicky nejnižších hodnot.</w:t>
      </w:r>
    </w:p>
    <w:p w:rsidR="00343D0C" w:rsidRDefault="00343D0C" w:rsidP="00343D0C">
      <w:pPr>
        <w:rPr>
          <w:rFonts w:eastAsia="Calibri" w:cs="Calibri"/>
          <w:color w:val="000000" w:themeColor="text1"/>
        </w:rPr>
      </w:pPr>
      <w:r w:rsidRPr="3B3A238B">
        <w:rPr>
          <w:rFonts w:eastAsia="Calibri" w:cs="Calibri"/>
          <w:color w:val="000000" w:themeColor="text1"/>
        </w:rPr>
        <w:t xml:space="preserve">Z hlediska impulzu do ekonomiky by fiskální politika v průběhu letošního roku, v návaznosti na ukončení platnosti </w:t>
      </w:r>
      <w:r w:rsidRPr="0009414C">
        <w:t>všeobecné</w:t>
      </w:r>
      <w:r w:rsidRPr="3B3A238B">
        <w:rPr>
          <w:rFonts w:eastAsia="Calibri" w:cs="Calibri"/>
          <w:color w:val="000000" w:themeColor="text1"/>
        </w:rPr>
        <w:t xml:space="preserve"> únikové klauzule obsažené v Paktu o stabilitě a růstu a ukončování podpůrných energetických opatření, měla v úhrnu začít </w:t>
      </w:r>
      <w:r>
        <w:rPr>
          <w:rFonts w:eastAsia="Calibri" w:cs="Calibri"/>
          <w:color w:val="000000" w:themeColor="text1"/>
        </w:rPr>
        <w:t>působit relativně restriktivně.</w:t>
      </w:r>
    </w:p>
    <w:p w:rsidR="00554522" w:rsidRPr="007F3460" w:rsidRDefault="00554522" w:rsidP="00554522">
      <w:pPr>
        <w:pStyle w:val="SRtitulek1"/>
      </w:pPr>
      <w:bookmarkStart w:id="11" w:name="_Toc115424539"/>
      <w:r w:rsidRPr="007F3460">
        <w:t xml:space="preserve">Graf </w:t>
      </w:r>
      <w:fldSimple w:instr=" SEQ Graf \* ARABIC ">
        <w:r w:rsidR="001773BF">
          <w:rPr>
            <w:noProof/>
          </w:rPr>
          <w:t>1</w:t>
        </w:r>
      </w:fldSimple>
      <w:r w:rsidRPr="007F3460">
        <w:t xml:space="preserve"> Reálný hrubý domácí produkt eurozóny </w:t>
      </w:r>
      <w:r w:rsidRPr="007F3460">
        <w:rPr>
          <w:i/>
        </w:rPr>
        <w:t>(růst proti předchozímu roku v %)</w:t>
      </w:r>
      <w:bookmarkEnd w:id="11"/>
    </w:p>
    <w:p w:rsidR="000B3693" w:rsidRPr="007F3460" w:rsidRDefault="007F3460" w:rsidP="00403895">
      <w:pPr>
        <w:pStyle w:val="Zdrojpodtabulkounebografem"/>
      </w:pPr>
      <w:r w:rsidRPr="007F3460">
        <w:rPr>
          <w:noProof/>
          <w:lang w:val="en-US" w:eastAsia="en-US"/>
        </w:rPr>
        <w:drawing>
          <wp:inline distT="0" distB="0" distL="0" distR="0" wp14:anchorId="37CB65FA">
            <wp:extent cx="2950845" cy="1762125"/>
            <wp:effectExtent l="0" t="0" r="1905" b="0"/>
            <wp:docPr id="29" name="Obráze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50845" cy="1762125"/>
                    </a:xfrm>
                    <a:prstGeom prst="rect">
                      <a:avLst/>
                    </a:prstGeom>
                    <a:noFill/>
                  </pic:spPr>
                </pic:pic>
              </a:graphicData>
            </a:graphic>
          </wp:inline>
        </w:drawing>
      </w:r>
      <w:r w:rsidR="000B3693" w:rsidRPr="007F3460">
        <w:t>Zdroj: Eurostat. Výpočty a predikce MF ČR.</w:t>
      </w:r>
    </w:p>
    <w:p w:rsidR="00343D0C" w:rsidRPr="00343D0C" w:rsidRDefault="00343D0C" w:rsidP="00343D0C">
      <w:r w:rsidRPr="00343D0C">
        <w:rPr>
          <w:rFonts w:eastAsia="Calibri" w:cs="Calibri"/>
        </w:rPr>
        <w:t xml:space="preserve">Evropská centrální banka v rámci revize implementace měnové politiky posiluje roli depozitní sazby mezi hlavními měnověpolitickými sazbami a v červnu ji snížila na 3,75 %. Předpokládáme, že ve snižování své základní úrokové sazby bude pokračovat. Evropská centrální banka potvrdila, že ve 2. polovině roku rovněž sníží objem portfolia nakoupeného v rámci nouzového pandemického programu nákupu aktiv a reinvestice v rámci tohoto programu do konce letošního roku ukončí. Dále pokračuje </w:t>
      </w:r>
      <w:r w:rsidRPr="00343D0C">
        <w:rPr>
          <w:rFonts w:eastAsia="Calibri" w:cs="Calibri"/>
        </w:rPr>
        <w:lastRenderedPageBreak/>
        <w:t xml:space="preserve">v postupném snižování objemu cenných papírů nakoupených v programu pro nákup aktiv. </w:t>
      </w:r>
    </w:p>
    <w:p w:rsidR="00343D0C" w:rsidRPr="000620C3" w:rsidRDefault="00343D0C" w:rsidP="00343D0C">
      <w:pPr>
        <w:rPr>
          <w:rFonts w:eastAsia="Calibri" w:cs="Calibri"/>
        </w:rPr>
      </w:pPr>
      <w:r w:rsidRPr="00343D0C">
        <w:t xml:space="preserve">Celkově očekáváme, že v roce 2024 HDP eurozóny vzroste o 0,8 %. K tomu by měla přispět spotřeba domácností, jež bude podpořena poklesem inflace, </w:t>
      </w:r>
      <w:r w:rsidRPr="000620C3">
        <w:t>napjatým trhem práce a zvyšováním reálných mezd. Zahraniční obchod by naopak růstovou dynamiku vzhledem k nepříznivému vývoji v exportně orientovaném průmyslu mohl tlumit. Pokračující oživování spotřeby domácností a investiční aktivity podpořené snižováním úrokových sazeb by v příštím roce mělo přinést zrychlení růstu na 1,3 %.</w:t>
      </w:r>
      <w:r w:rsidRPr="000620C3">
        <w:rPr>
          <w:rFonts w:eastAsia="Calibri" w:cs="Calibri"/>
        </w:rPr>
        <w:t xml:space="preserve"> V letech 2026 a 2027 by měl být výkon ekonomiky podpořen zahraniční i domácí poptávkou. Proti stimulačnímu efektu nižších úrokových sazeb však může působit konsolidační úsilí v některých zemích.</w:t>
      </w:r>
    </w:p>
    <w:p w:rsidR="00B418CB" w:rsidRPr="000620C3" w:rsidRDefault="00B418CB" w:rsidP="002B1D10">
      <w:pPr>
        <w:pStyle w:val="Nadpis3"/>
        <w:rPr>
          <w:b w:val="0"/>
        </w:rPr>
      </w:pPr>
      <w:r w:rsidRPr="000620C3">
        <w:t>Cena ropy</w:t>
      </w:r>
    </w:p>
    <w:p w:rsidR="00343D0C" w:rsidRPr="000620C3" w:rsidRDefault="00343D0C" w:rsidP="00343D0C">
      <w:pPr>
        <w:rPr>
          <w:rFonts w:eastAsia="Calibri" w:cs="Calibri"/>
        </w:rPr>
      </w:pPr>
      <w:r w:rsidRPr="000620C3">
        <w:rPr>
          <w:rFonts w:eastAsia="Calibri" w:cs="Calibri"/>
        </w:rPr>
        <w:t>Cena za barel ropy Brent se v 1. pololetí 2024 meziročně zvýšila o 5,4 %. V nadcházejících čtvrtletích lze v souvislosti s přetrvávajícími problémy světové ekonomiky očekávat jen velmi pozvolné zvyšování poptávky po ropě. Organizace zemí vyvážejících ropu a další s ní koordinující země (OPEC+) omezují export ropy s cílem zajistit stabilizaci její ceny. Opětovně tudíž prodloužily snížení cílené těžby, a to až do konce příštího roku. Souběžně je osmi zeměmi OPEC+ dobrovolně snížena produkce nad rámec tohoto závazku. Naopak mnohé země mimo OPEC+ budou svoji produkci pravděpodobně dále navyšovat, obzvláště Spojené státy americké. Rizika pro budoucí cenu ropy představují především vývoj situace na Blízkém a Středním východě a nejistota ohledně ekonomické kondice Číny.</w:t>
      </w:r>
    </w:p>
    <w:p w:rsidR="00554522" w:rsidRPr="000620C3" w:rsidRDefault="00554522" w:rsidP="00554522">
      <w:pPr>
        <w:pStyle w:val="SRtitulek1"/>
      </w:pPr>
      <w:bookmarkStart w:id="12" w:name="_Toc115424540"/>
      <w:r w:rsidRPr="000620C3">
        <w:t xml:space="preserve">Graf </w:t>
      </w:r>
      <w:fldSimple w:instr=" SEQ Graf \* ARABIC ">
        <w:r w:rsidR="001773BF">
          <w:rPr>
            <w:noProof/>
          </w:rPr>
          <w:t>2</w:t>
        </w:r>
      </w:fldSimple>
      <w:r w:rsidRPr="000620C3">
        <w:t xml:space="preserve"> Cena ropy Brent </w:t>
      </w:r>
      <w:r w:rsidRPr="000620C3">
        <w:rPr>
          <w:i/>
        </w:rPr>
        <w:t>(USD/barel)</w:t>
      </w:r>
      <w:bookmarkEnd w:id="12"/>
    </w:p>
    <w:p w:rsidR="000B3693" w:rsidRPr="000620C3" w:rsidRDefault="007F3460" w:rsidP="00403895">
      <w:pPr>
        <w:pStyle w:val="Zdrojpodtabulkounebografem"/>
      </w:pPr>
      <w:r w:rsidRPr="000620C3">
        <w:rPr>
          <w:noProof/>
          <w:lang w:val="en-US" w:eastAsia="en-US"/>
        </w:rPr>
        <w:drawing>
          <wp:inline distT="0" distB="0" distL="0" distR="0" wp14:anchorId="583A362A">
            <wp:extent cx="2950845" cy="1767840"/>
            <wp:effectExtent l="0" t="0" r="1905" b="0"/>
            <wp:docPr id="34" name="Obrázek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50845" cy="1767840"/>
                    </a:xfrm>
                    <a:prstGeom prst="rect">
                      <a:avLst/>
                    </a:prstGeom>
                    <a:noFill/>
                  </pic:spPr>
                </pic:pic>
              </a:graphicData>
            </a:graphic>
          </wp:inline>
        </w:drawing>
      </w:r>
      <w:r w:rsidR="000B3693" w:rsidRPr="000620C3">
        <w:t xml:space="preserve">Zdroj: U. S. </w:t>
      </w:r>
      <w:r w:rsidR="000B3693" w:rsidRPr="000620C3">
        <w:rPr>
          <w:lang w:val="en-US"/>
        </w:rPr>
        <w:t>Energy Information Administration</w:t>
      </w:r>
      <w:r w:rsidR="000B3693" w:rsidRPr="000620C3">
        <w:t>. Predikce MF ČR.</w:t>
      </w:r>
    </w:p>
    <w:p w:rsidR="00400976" w:rsidRPr="00400976" w:rsidRDefault="00400976" w:rsidP="00400976">
      <w:pPr>
        <w:rPr>
          <w:rFonts w:eastAsia="Calibri" w:cs="Calibri"/>
        </w:rPr>
      </w:pPr>
      <w:r w:rsidRPr="00400976">
        <w:rPr>
          <w:rFonts w:eastAsia="Calibri" w:cs="Calibri"/>
        </w:rPr>
        <w:t>Za celý rok 2024 by průměrná cena barelu ropy Brent mohla meziročně klesnout o 0,7 % na 82 USD. V souladu s klesající křivkou cen kontraktů futures počítáme s postupným poklesem ceny až na 71 USD za barel v roce 2027.</w:t>
      </w:r>
    </w:p>
    <w:p w:rsidR="00B418CB" w:rsidRPr="000620C3" w:rsidRDefault="00B418CB" w:rsidP="00B418CB">
      <w:pPr>
        <w:pStyle w:val="Nadpis3"/>
        <w:tabs>
          <w:tab w:val="left" w:pos="567"/>
        </w:tabs>
      </w:pPr>
      <w:r w:rsidRPr="000620C3">
        <w:t>Měnová politika a měnové kurzy</w:t>
      </w:r>
    </w:p>
    <w:p w:rsidR="00465339" w:rsidRDefault="00465339" w:rsidP="00465339">
      <w:pPr>
        <w:rPr>
          <w:rFonts w:eastAsia="Calibri" w:cs="Calibri"/>
        </w:rPr>
      </w:pPr>
      <w:r w:rsidRPr="0CE36752">
        <w:rPr>
          <w:rFonts w:eastAsia="Calibri" w:cs="Calibri"/>
        </w:rPr>
        <w:t xml:space="preserve">Česká národní banka započala v prosinci 2023 cyklus snižování měnověpolitických sazeb, od té doby postupně snížila </w:t>
      </w:r>
      <w:r w:rsidRPr="0CE36752">
        <w:rPr>
          <w:rFonts w:eastAsia="Calibri" w:cs="Calibri"/>
          <w:b/>
          <w:bCs/>
        </w:rPr>
        <w:t>dvoutýdenní repo sazbu</w:t>
      </w:r>
      <w:r w:rsidRPr="0CE36752">
        <w:rPr>
          <w:rFonts w:eastAsia="Calibri" w:cs="Calibri"/>
        </w:rPr>
        <w:t xml:space="preserve"> v úhr</w:t>
      </w:r>
      <w:r>
        <w:rPr>
          <w:rFonts w:eastAsia="Calibri" w:cs="Calibri"/>
        </w:rPr>
        <w:t>nu o 250 bazických bodů ze 7,00 </w:t>
      </w:r>
      <w:r w:rsidRPr="0CE36752">
        <w:rPr>
          <w:rFonts w:eastAsia="Calibri" w:cs="Calibri"/>
        </w:rPr>
        <w:t>% na 4,50</w:t>
      </w:r>
      <w:r>
        <w:rPr>
          <w:rFonts w:eastAsia="Calibri" w:cs="Calibri"/>
        </w:rPr>
        <w:t> </w:t>
      </w:r>
      <w:r w:rsidRPr="0CE36752">
        <w:rPr>
          <w:rFonts w:eastAsia="Calibri" w:cs="Calibri"/>
        </w:rPr>
        <w:t xml:space="preserve">%. Míra inflace se v tomto období vrátila zpět do tolerančního pásma okolo 2% cíle, kde by </w:t>
      </w:r>
      <w:r>
        <w:rPr>
          <w:rFonts w:eastAsia="Calibri" w:cs="Calibri"/>
        </w:rPr>
        <w:t>po</w:t>
      </w:r>
      <w:r w:rsidRPr="0CE36752">
        <w:rPr>
          <w:rFonts w:eastAsia="Calibri" w:cs="Calibri"/>
        </w:rPr>
        <w:t xml:space="preserve">dle </w:t>
      </w:r>
      <w:r>
        <w:rPr>
          <w:rFonts w:eastAsia="Calibri" w:cs="Calibri"/>
        </w:rPr>
        <w:t>predikce</w:t>
      </w:r>
      <w:r w:rsidRPr="0CE36752">
        <w:rPr>
          <w:rFonts w:eastAsia="Calibri" w:cs="Calibri"/>
        </w:rPr>
        <w:t xml:space="preserve"> měla setrvat i na horizontu měnové politiky. </w:t>
      </w:r>
      <w:r>
        <w:rPr>
          <w:rFonts w:eastAsia="Calibri" w:cs="Calibri"/>
        </w:rPr>
        <w:t>O</w:t>
      </w:r>
      <w:r w:rsidRPr="0CE36752">
        <w:rPr>
          <w:rFonts w:eastAsia="Calibri" w:cs="Calibri"/>
        </w:rPr>
        <w:t>čekáváme</w:t>
      </w:r>
      <w:r>
        <w:rPr>
          <w:rFonts w:eastAsia="Calibri" w:cs="Calibri"/>
        </w:rPr>
        <w:t xml:space="preserve"> proto</w:t>
      </w:r>
      <w:r w:rsidRPr="0CE36752">
        <w:rPr>
          <w:rFonts w:eastAsia="Calibri" w:cs="Calibri"/>
        </w:rPr>
        <w:t xml:space="preserve">, že </w:t>
      </w:r>
      <w:r>
        <w:rPr>
          <w:rFonts w:eastAsia="Calibri" w:cs="Calibri"/>
        </w:rPr>
        <w:t xml:space="preserve">ČNB bude </w:t>
      </w:r>
      <w:r w:rsidRPr="0CE36752">
        <w:rPr>
          <w:rFonts w:eastAsia="Calibri" w:cs="Calibri"/>
        </w:rPr>
        <w:t>dvoutýdenní repo sazb</w:t>
      </w:r>
      <w:r>
        <w:rPr>
          <w:rFonts w:eastAsia="Calibri" w:cs="Calibri"/>
        </w:rPr>
        <w:t>u</w:t>
      </w:r>
      <w:r w:rsidRPr="0CE36752">
        <w:rPr>
          <w:rFonts w:eastAsia="Calibri" w:cs="Calibri"/>
        </w:rPr>
        <w:t xml:space="preserve"> postupně snižovat </w:t>
      </w:r>
      <w:r>
        <w:rPr>
          <w:rFonts w:eastAsia="Calibri" w:cs="Calibri"/>
        </w:rPr>
        <w:t>také</w:t>
      </w:r>
      <w:r w:rsidRPr="0CE36752">
        <w:rPr>
          <w:rFonts w:eastAsia="Calibri" w:cs="Calibri"/>
        </w:rPr>
        <w:t xml:space="preserve"> ve </w:t>
      </w:r>
      <w:r>
        <w:rPr>
          <w:rFonts w:eastAsia="Calibri" w:cs="Calibri"/>
        </w:rPr>
        <w:t>2. </w:t>
      </w:r>
      <w:r w:rsidRPr="0CE36752">
        <w:rPr>
          <w:rFonts w:eastAsia="Calibri" w:cs="Calibri"/>
        </w:rPr>
        <w:t>polovině letošního roku a</w:t>
      </w:r>
      <w:r>
        <w:rPr>
          <w:rFonts w:eastAsia="Calibri" w:cs="Calibri"/>
        </w:rPr>
        <w:t> </w:t>
      </w:r>
      <w:r w:rsidRPr="0CE36752">
        <w:rPr>
          <w:rFonts w:eastAsia="Calibri" w:cs="Calibri"/>
        </w:rPr>
        <w:t>následně i v průběhu roku 2025.</w:t>
      </w:r>
    </w:p>
    <w:p w:rsidR="00465339" w:rsidRDefault="00465339" w:rsidP="00465339">
      <w:pPr>
        <w:rPr>
          <w:rFonts w:eastAsia="Calibri" w:cs="Calibri"/>
        </w:rPr>
      </w:pPr>
      <w:r w:rsidRPr="0CE36752">
        <w:rPr>
          <w:rFonts w:eastAsia="Calibri" w:cs="Calibri"/>
          <w:b/>
          <w:bCs/>
        </w:rPr>
        <w:t>Měnový kurz</w:t>
      </w:r>
      <w:r w:rsidRPr="0CE36752">
        <w:rPr>
          <w:rFonts w:eastAsia="Calibri" w:cs="Calibri"/>
        </w:rPr>
        <w:t xml:space="preserve"> koruny vůči euru během prvních sedmi měsíců roku 2024 v průměru dosahoval 25,1 CZK/EUR, což proti </w:t>
      </w:r>
      <w:r>
        <w:rPr>
          <w:rFonts w:eastAsia="Calibri" w:cs="Calibri"/>
        </w:rPr>
        <w:t xml:space="preserve">stejnému období </w:t>
      </w:r>
      <w:r w:rsidRPr="0CE36752">
        <w:rPr>
          <w:rFonts w:eastAsia="Calibri" w:cs="Calibri"/>
        </w:rPr>
        <w:t>předchozí</w:t>
      </w:r>
      <w:r>
        <w:rPr>
          <w:rFonts w:eastAsia="Calibri" w:cs="Calibri"/>
        </w:rPr>
        <w:t>ho</w:t>
      </w:r>
      <w:r w:rsidRPr="0CE36752">
        <w:rPr>
          <w:rFonts w:eastAsia="Calibri" w:cs="Calibri"/>
        </w:rPr>
        <w:t xml:space="preserve"> roku</w:t>
      </w:r>
      <w:r>
        <w:rPr>
          <w:rFonts w:eastAsia="Calibri" w:cs="Calibri"/>
        </w:rPr>
        <w:t xml:space="preserve"> </w:t>
      </w:r>
      <w:r w:rsidRPr="0CE36752">
        <w:rPr>
          <w:rFonts w:eastAsia="Calibri" w:cs="Calibri"/>
        </w:rPr>
        <w:t xml:space="preserve">znamenalo oslabení o 5,3 %. Za </w:t>
      </w:r>
      <w:r>
        <w:rPr>
          <w:rFonts w:eastAsia="Calibri" w:cs="Calibri"/>
        </w:rPr>
        <w:t>tím</w:t>
      </w:r>
      <w:r w:rsidRPr="0CE36752">
        <w:rPr>
          <w:rFonts w:eastAsia="Calibri" w:cs="Calibri"/>
        </w:rPr>
        <w:t xml:space="preserve"> stál zejména klesající kladný úrokový diferenciál, resp. jeho očekávaný další pokles. Naopak příznivě na korunu působil přebytek v zahraničním obchodě.</w:t>
      </w:r>
    </w:p>
    <w:p w:rsidR="00554522" w:rsidRPr="00AD61B5" w:rsidRDefault="00554522" w:rsidP="00554522">
      <w:pPr>
        <w:pStyle w:val="SRtitulek1"/>
      </w:pPr>
      <w:bookmarkStart w:id="13" w:name="_Toc115424541"/>
      <w:r w:rsidRPr="00AD61B5">
        <w:t xml:space="preserve">Graf </w:t>
      </w:r>
      <w:fldSimple w:instr=" SEQ Graf \* ARABIC ">
        <w:r w:rsidR="001773BF">
          <w:rPr>
            <w:noProof/>
          </w:rPr>
          <w:t>3</w:t>
        </w:r>
      </w:fldSimple>
      <w:r w:rsidRPr="00AD61B5">
        <w:t xml:space="preserve"> Měnový kurz CZK/EUR </w:t>
      </w:r>
      <w:r w:rsidRPr="00AD61B5">
        <w:rPr>
          <w:i/>
        </w:rPr>
        <w:t>(průměr roku)</w:t>
      </w:r>
      <w:bookmarkEnd w:id="13"/>
    </w:p>
    <w:p w:rsidR="000B3693" w:rsidRPr="00AD61B5" w:rsidRDefault="00AD61B5" w:rsidP="00403895">
      <w:pPr>
        <w:spacing w:after="240"/>
        <w:rPr>
          <w:i/>
          <w:sz w:val="16"/>
          <w:szCs w:val="16"/>
        </w:rPr>
      </w:pPr>
      <w:r w:rsidRPr="00AD61B5">
        <w:rPr>
          <w:i/>
          <w:noProof/>
          <w:sz w:val="16"/>
          <w:szCs w:val="16"/>
          <w:lang w:val="en-US" w:eastAsia="en-US"/>
        </w:rPr>
        <w:drawing>
          <wp:inline distT="0" distB="0" distL="0" distR="0" wp14:anchorId="1AA0A229">
            <wp:extent cx="2956560" cy="1762125"/>
            <wp:effectExtent l="0" t="0" r="0" b="0"/>
            <wp:docPr id="37" name="Obrázek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56560" cy="1762125"/>
                    </a:xfrm>
                    <a:prstGeom prst="rect">
                      <a:avLst/>
                    </a:prstGeom>
                    <a:noFill/>
                  </pic:spPr>
                </pic:pic>
              </a:graphicData>
            </a:graphic>
          </wp:inline>
        </w:drawing>
      </w:r>
      <w:r w:rsidR="000B3693" w:rsidRPr="00AD61B5">
        <w:rPr>
          <w:i/>
          <w:sz w:val="16"/>
          <w:szCs w:val="16"/>
        </w:rPr>
        <w:t>Zdroj: ČNB. Výpočty a predikce MF ČR.</w:t>
      </w:r>
    </w:p>
    <w:p w:rsidR="00465339" w:rsidRPr="00465339" w:rsidRDefault="00465339" w:rsidP="00465339">
      <w:pPr>
        <w:rPr>
          <w:rFonts w:eastAsia="Calibri" w:cs="Calibri"/>
        </w:rPr>
      </w:pPr>
      <w:r w:rsidRPr="00465339">
        <w:rPr>
          <w:rFonts w:eastAsia="Calibri" w:cs="Calibri"/>
        </w:rPr>
        <w:t>Očekáváme, že koruna bude vůči euru od 2. poloviny letošního roku mírně posilovat. Pozitivně by mohlo působit zpomalení tempa snižování korunových úrokových sazeb na pozadí očekávaného poklesu úrokových sazeb v zahraničí. V delším období by pak apreciační tlaky mělo vytvářet zejména obnovení procesu ekonomické konvergence. Za celý rok 2024 by tak kurz mohl v průměru dosáhnout 25,1 CZK/EUR a v roce 2027 by se koruna mohla v průměru obchodovat za 24,0 CZK/EUR.</w:t>
      </w:r>
    </w:p>
    <w:p w:rsidR="0006144B" w:rsidRPr="002A23FD" w:rsidRDefault="0006144B" w:rsidP="0006144B">
      <w:pPr>
        <w:rPr>
          <w:i/>
          <w:iCs/>
          <w:color w:val="000000"/>
          <w:sz w:val="16"/>
          <w:szCs w:val="16"/>
          <w:highlight w:val="cyan"/>
        </w:rPr>
        <w:sectPr w:rsidR="0006144B" w:rsidRPr="002A23FD" w:rsidSect="007A1923">
          <w:type w:val="continuous"/>
          <w:pgSz w:w="11906" w:h="16838" w:code="9"/>
          <w:pgMar w:top="1134" w:right="1134" w:bottom="1418" w:left="1134" w:header="709" w:footer="709" w:gutter="0"/>
          <w:cols w:num="2" w:space="397"/>
          <w:docGrid w:linePitch="360"/>
        </w:sectPr>
      </w:pPr>
    </w:p>
    <w:p w:rsidR="0006144B" w:rsidRPr="000620C3" w:rsidRDefault="0006144B" w:rsidP="00703196">
      <w:pPr>
        <w:pStyle w:val="Nadpis2"/>
        <w:pageBreakBefore/>
        <w:spacing w:before="0"/>
      </w:pPr>
      <w:bookmarkStart w:id="14" w:name="_Toc14695475"/>
      <w:bookmarkStart w:id="15" w:name="_Toc175914409"/>
      <w:r w:rsidRPr="000620C3">
        <w:lastRenderedPageBreak/>
        <w:t>Makroekonomický vývoj v České republice</w:t>
      </w:r>
      <w:bookmarkEnd w:id="14"/>
      <w:bookmarkEnd w:id="15"/>
    </w:p>
    <w:p w:rsidR="0006144B" w:rsidRPr="000620C3" w:rsidRDefault="0006144B" w:rsidP="0006144B">
      <w:pPr>
        <w:sectPr w:rsidR="0006144B" w:rsidRPr="000620C3" w:rsidSect="007A1923">
          <w:type w:val="continuous"/>
          <w:pgSz w:w="11906" w:h="16838" w:code="9"/>
          <w:pgMar w:top="1134" w:right="1134" w:bottom="1418" w:left="1134" w:header="709" w:footer="709" w:gutter="0"/>
          <w:cols w:space="709"/>
          <w:docGrid w:linePitch="360"/>
        </w:sectPr>
      </w:pPr>
    </w:p>
    <w:p w:rsidR="0006144B" w:rsidRPr="000620C3" w:rsidRDefault="0006144B" w:rsidP="00027D0D">
      <w:pPr>
        <w:pStyle w:val="Nadpis3"/>
        <w:spacing w:before="0"/>
      </w:pPr>
      <w:r w:rsidRPr="000620C3">
        <w:t>Ekonomický výkon</w:t>
      </w:r>
    </w:p>
    <w:p w:rsidR="00465339" w:rsidRPr="00AD61B5" w:rsidRDefault="00465339" w:rsidP="00465339">
      <w:r w:rsidRPr="000620C3">
        <w:t>Zatímco v 1. polovině letošního roku česká ekonomika rostla jen velmi zvolna, v 2. pololetí by již oživení</w:t>
      </w:r>
      <w:r>
        <w:t xml:space="preserve"> – vzhledem k očekávané dynamice spotřeby a investic – mělo být silnější. Za celý rok 2024 by tak hrubý domácí produkt mohl vzrůst o 1,1 %. V roce 2025 by se výkon ekonomiky měl zvýšit o 2,7 % a obdobným tempem by hospodářská </w:t>
      </w:r>
      <w:r w:rsidRPr="00AD61B5">
        <w:t>aktivita mohla růst i v dalších letech.</w:t>
      </w:r>
    </w:p>
    <w:p w:rsidR="00554522" w:rsidRPr="00AD61B5" w:rsidRDefault="00554522" w:rsidP="00554522">
      <w:pPr>
        <w:pStyle w:val="SRtitulek1"/>
      </w:pPr>
      <w:bookmarkStart w:id="16" w:name="_Toc115424542"/>
      <w:r w:rsidRPr="00AD61B5">
        <w:t xml:space="preserve">Graf </w:t>
      </w:r>
      <w:fldSimple w:instr=" SEQ Graf \* ARABIC ">
        <w:r w:rsidR="001773BF">
          <w:rPr>
            <w:noProof/>
          </w:rPr>
          <w:t>4</w:t>
        </w:r>
      </w:fldSimple>
      <w:r w:rsidRPr="00AD61B5">
        <w:t xml:space="preserve"> Reálný hrubý domácí produkt </w:t>
      </w:r>
      <w:r w:rsidRPr="00AD61B5">
        <w:rPr>
          <w:i/>
        </w:rPr>
        <w:t>(růst proti předchozímu roku v %)</w:t>
      </w:r>
      <w:bookmarkEnd w:id="16"/>
    </w:p>
    <w:p w:rsidR="00695CCE" w:rsidRPr="00AD61B5" w:rsidRDefault="00AD61B5" w:rsidP="00403895">
      <w:pPr>
        <w:spacing w:after="240"/>
        <w:rPr>
          <w:i/>
          <w:iCs/>
          <w:color w:val="000000"/>
          <w:sz w:val="16"/>
          <w:szCs w:val="16"/>
        </w:rPr>
      </w:pPr>
      <w:r w:rsidRPr="00AD61B5">
        <w:rPr>
          <w:i/>
          <w:iCs/>
          <w:noProof/>
          <w:sz w:val="16"/>
          <w:szCs w:val="16"/>
          <w:lang w:val="en-US" w:eastAsia="en-US"/>
        </w:rPr>
        <w:drawing>
          <wp:inline distT="0" distB="0" distL="0" distR="0" wp14:anchorId="22510350">
            <wp:extent cx="2950845" cy="1762125"/>
            <wp:effectExtent l="0" t="0" r="1905" b="0"/>
            <wp:docPr id="41" name="Obrázek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50845" cy="1762125"/>
                    </a:xfrm>
                    <a:prstGeom prst="rect">
                      <a:avLst/>
                    </a:prstGeom>
                    <a:noFill/>
                  </pic:spPr>
                </pic:pic>
              </a:graphicData>
            </a:graphic>
          </wp:inline>
        </w:drawing>
      </w:r>
      <w:r w:rsidR="00695CCE" w:rsidRPr="00AD61B5">
        <w:rPr>
          <w:i/>
          <w:iCs/>
          <w:sz w:val="16"/>
          <w:szCs w:val="16"/>
        </w:rPr>
        <w:t>Zdroj:</w:t>
      </w:r>
      <w:r w:rsidR="00695CCE" w:rsidRPr="00AD61B5">
        <w:rPr>
          <w:i/>
          <w:iCs/>
          <w:color w:val="000000"/>
          <w:sz w:val="16"/>
          <w:szCs w:val="16"/>
        </w:rPr>
        <w:t xml:space="preserve"> ČSÚ. Výpočty a predikce MF ČR.</w:t>
      </w:r>
    </w:p>
    <w:p w:rsidR="00465339" w:rsidRPr="00465339" w:rsidRDefault="00465339" w:rsidP="00465339">
      <w:r w:rsidRPr="00465339">
        <w:rPr>
          <w:b/>
        </w:rPr>
        <w:t>S</w:t>
      </w:r>
      <w:r w:rsidRPr="00465339">
        <w:rPr>
          <w:b/>
          <w:bCs/>
        </w:rPr>
        <w:t>potřeba domácností</w:t>
      </w:r>
      <w:r w:rsidRPr="00465339">
        <w:t xml:space="preserve"> by se letos mohla zvýšit o 2,1 % a v roce 2025 o 3,9 %. Reálné příjmy domácností by s ohledem na pokles inflace a přetrvávající napětí na trhu práce měly růst, soukromou spotřebu však může mírně tlumit konsolidační balíček. Postupně by se také měla zvyšovat ochota domácností utrácet – míra úspor by v letošním roce mohla začít klesat, její snižování však zpočátku bude tlumit snaha domácností s nižšími příjmy obnovit finanční rezervu. Výrazněji by měl pokles míry úspor spotřebu domácností stimulovat až v roce 2025, přesto by však míra úspor měla setrvat výrazně nad dlouhodobým průměrem před rokem 2020. V tomto i příštím roce by k poklesu míry úspor mělo přispívat také snižování úrokových sazeb, ačkoliv motiv spořit bude vzhledem k výši úrokových sazeb na počátku horizontu predikce ještě relativně silný. V dalších letech by růst spotřeby domácností mohl mírně zpomalovat na 3,1 % v roce 2026 a 2,5 % v roce 2027.</w:t>
      </w:r>
    </w:p>
    <w:p w:rsidR="00465339" w:rsidRPr="00465339" w:rsidRDefault="00465339" w:rsidP="00465339">
      <w:r w:rsidRPr="00465339">
        <w:t xml:space="preserve">Růst </w:t>
      </w:r>
      <w:r w:rsidRPr="00465339">
        <w:rPr>
          <w:b/>
          <w:bCs/>
        </w:rPr>
        <w:t>spotřeby sektoru vládních institucí</w:t>
      </w:r>
      <w:r w:rsidRPr="00465339">
        <w:t xml:space="preserve"> by v letošním roce mohl zpomalit na 2,3 %. Kromě fiskální konsolidace se projeví také přechod na novou finanční perspektivu 2021–2027, který však bude do určité míry korigován náběhem běžných výdajů z ostatních nástrojů EU, hlavně z Nástroje pro oživení a odolnost. V roce 2025 by vládní spotřeba měla odrážet pokračující konsolidaci a pokles schodků státního rozpočtu, její růst odhadujeme na 2,2 %. V dalším období by dynamika měla postupně slábnout. V roce 2026 by vládní výdaje na spotřebu mohly vzrůst o 2,0 % a v roce 2027 o 1,8 %.</w:t>
      </w:r>
    </w:p>
    <w:p w:rsidR="00465339" w:rsidRPr="00465339" w:rsidRDefault="00465339" w:rsidP="00465339">
      <w:r w:rsidRPr="00465339">
        <w:rPr>
          <w:b/>
          <w:bCs/>
        </w:rPr>
        <w:t>Tvorba hrubého fixního kapitálu</w:t>
      </w:r>
      <w:r w:rsidRPr="00465339">
        <w:t xml:space="preserve"> by v roce 2024 měla kvůli hospodářským problémům v zemích eurozóny, přetrvávajícímu negativnímu sentimentu a nižšímu využití kapacit v průmyslu klesnout o 0,5 %. Tlumit ji bude také restriktivní nastavení měnové politiky. Současně se projevuje přechod na novou finanční perspektivu strukturálních a investičních fondů EU, a to v prvé řadě u investic sektoru vládních institucí. Pro příští rok pak díky hospodářskému oživení v eurozóně a růstu vládních výdajů podpořených unijními finančními prostředky z Nástroje pro oživení a odolnost počítáme se zvýšením investiční aktivity o 3,6 %. S relativně silnými tempy růstu okolo 3,5 % pak makroekonomický rámec počítá i pro roky 2026 a 2027. Od roku 2025 bude na investiční aktivitu pozitivně působit plánovaná investice společnosti onsemi do výroby čipů a od roku 2026 ji navíc budou významněji podporovat také výdaje související se stavbou nových bloků jaderných elektráren.</w:t>
      </w:r>
    </w:p>
    <w:p w:rsidR="00465339" w:rsidRPr="00465339" w:rsidRDefault="00465339" w:rsidP="00465339">
      <w:r w:rsidRPr="00465339">
        <w:t xml:space="preserve">Předpokládáme, že v průběhu letošního roku bude docházet ke snižování skladových zásob a dokončování rozpracované produkce. V příštím roce by normalizace </w:t>
      </w:r>
      <w:r w:rsidRPr="00465339">
        <w:rPr>
          <w:b/>
          <w:bCs/>
        </w:rPr>
        <w:t>zásob</w:t>
      </w:r>
      <w:r w:rsidRPr="00465339">
        <w:t xml:space="preserve"> měla pokračovat, v letech 2026 a 2027 by již akumulace zásob měla odpovídat vývoji obvyklému pro danou fázi hospodářského cyklu. Změna stavu zásob by tudíž v roce 2024 na růst HDP měla působit negativně, pro další roky je nicméně očekáván kladný, byť postupně klesající, příspěvek.</w:t>
      </w:r>
    </w:p>
    <w:p w:rsidR="00465339" w:rsidRPr="00465339" w:rsidRDefault="00465339" w:rsidP="00465339">
      <w:r w:rsidRPr="00465339">
        <w:t xml:space="preserve">Očekáváme, že </w:t>
      </w:r>
      <w:r w:rsidRPr="00465339">
        <w:rPr>
          <w:b/>
          <w:bCs/>
        </w:rPr>
        <w:t>vývoz zboží a služeb</w:t>
      </w:r>
      <w:r w:rsidRPr="00465339">
        <w:t xml:space="preserve"> v letošním roce vzroste o 2,7 %. Růstovou dynamiku bude limitovat slabý vývoj exportních trhů, pozitivně naopak bude působit exportní výkonnost, která by měla těžit ze silné výroby motorových vozidel v 1. polovině letošního roku. V dalších letech by vývoz vlivem oživení hlavních exportních trhů mohl růst o více než 3 % ročně. Dynamika vývozu a domácí poptávky, zejména dovozně náročných investic, se pak promítá v tempu dovozu zboží a služeb. Ten by se v roce 2024 mohl zvýšit o 1,4 %, od roku 2025 by však růst importu měl výrazně posílit a předstihovat tempo vývozu. Saldo zahraničního obchodu by tudíž na růst HDP mělo příštím rokem počínaje působit negativně.</w:t>
      </w:r>
    </w:p>
    <w:p w:rsidR="00465339" w:rsidRPr="00465339" w:rsidRDefault="00465339" w:rsidP="00465339">
      <w:r w:rsidRPr="00465339">
        <w:t xml:space="preserve">Česká ekonomika se v posledních čtvrtletích pohybuje zhruba 2 % pod úrovní potenciálního produktu, záporná </w:t>
      </w:r>
      <w:r w:rsidRPr="00465339">
        <w:rPr>
          <w:b/>
          <w:bCs/>
        </w:rPr>
        <w:t>mezera výstupu</w:t>
      </w:r>
      <w:r w:rsidRPr="00465339">
        <w:t xml:space="preserve"> by se však v důsledku hospodářského oživení měla postupně uzavírat. Od roku 2026 by ekonomika mohla operovat v podmínkách kladné a rozšiřující se mezery výstupu.</w:t>
      </w:r>
    </w:p>
    <w:p w:rsidR="00465339" w:rsidRPr="00465339" w:rsidRDefault="00465339" w:rsidP="00465339">
      <w:r w:rsidRPr="00465339">
        <w:t xml:space="preserve">Růst </w:t>
      </w:r>
      <w:r w:rsidRPr="00465339">
        <w:rPr>
          <w:b/>
          <w:bCs/>
        </w:rPr>
        <w:t>nominálního HDP</w:t>
      </w:r>
      <w:r w:rsidRPr="00465339">
        <w:t xml:space="preserve"> je dán vývojem reálného ekonomického výkonu a cenové složky HDP. Letos by růst </w:t>
      </w:r>
      <w:r w:rsidRPr="00465339">
        <w:rPr>
          <w:b/>
          <w:bCs/>
        </w:rPr>
        <w:t>deflátoru HDP</w:t>
      </w:r>
      <w:r w:rsidRPr="00465339">
        <w:t xml:space="preserve"> při nižší cenové dynamice v rámci všech složek domácí poptávky a jen mírném zlepšení směnných relací mohl zpomalit na 3,4 % (z 8,2 % v minulém roce), v roce 2025 by hlavně vlivem praktické stagnace směnných relací a pomalejšího růstu deflátoru spotřeby domácností mohl dále klesnout na 2,7 %. V dalším období by se růst </w:t>
      </w:r>
      <w:r w:rsidRPr="00465339">
        <w:lastRenderedPageBreak/>
        <w:t>deflátoru HDP při takřka neměnných cenách v zahraničním obchodě mohl pohybovat jen těsně nad 2 %. Na směnné relace by měl letos mít pozitivní vliv především meziroční pokles cen minerálních paliv, v roce 2025 by se ceny v zahraničním obchodě měly víceméně stabilizovat. Ve výsledku by směnné relace v roce 2024 mohly vzrůst o 0,5 % a v roce 2025 o 0,1 %.</w:t>
      </w:r>
    </w:p>
    <w:p w:rsidR="0006144B" w:rsidRPr="000620C3" w:rsidRDefault="0006144B" w:rsidP="0006144B">
      <w:pPr>
        <w:pStyle w:val="Nadpis3"/>
      </w:pPr>
      <w:r w:rsidRPr="000620C3">
        <w:t>Spotřebitelské ceny</w:t>
      </w:r>
    </w:p>
    <w:p w:rsidR="00465339" w:rsidRPr="000620C3" w:rsidRDefault="00465339" w:rsidP="00465339">
      <w:pPr>
        <w:rPr>
          <w:rFonts w:eastAsia="Calibri" w:cs="Calibri"/>
        </w:rPr>
      </w:pPr>
      <w:r w:rsidRPr="000620C3">
        <w:rPr>
          <w:rFonts w:eastAsia="Calibri" w:cs="Calibri"/>
        </w:rPr>
        <w:t>Meziroční růst spotřebitelských cen se v 1. pololetí 2024 pohyboval pod horní hranicí tolerančního pásma kolem inflačního cíle České národní banky. K inflaci přispíval obzvláště oddíl bydlení, a to zejména kvůli růstu cen elektřiny a nájemného z bytu. Významně přispívaly také oddíly stravování a ubytování a alkoholické nápoje, tabák. Naopak potraviny a nealkoholické nápoje meziroční inflaci snižovaly, a především zásluhou toho rostly ceny zboží jako celku jen mírně. Výrazně zvýšená cenová dynamika se však udržovala v oblasti služeb, s výjimkou imputovaného nájemného. Silová elektřina i plyn v roce 2024 zlevňují, protichůdně však zapůsobil nárůst regulovaných složek celkových cen elektřiny a plynu z počátku roku. Restriktivní působení měnové politiky je zesíleno důchodovým efektem fiskálního konsolidačního balíčku, a společně tak významně mírní domácí poptávkové inflační tlaky. Ve směru nižší inflace by mohl působit i lehký pokles dolarové ceny ropy. Naopak proinflačním faktorem je nejen růst nominálních mezd, ale i silná depreciace koruny vůči euru a dolaru. Přetrvávající silný růst cen služeb nadále představuje určité proinflační riziko.</w:t>
      </w:r>
    </w:p>
    <w:p w:rsidR="00621B56" w:rsidRPr="000620C3" w:rsidRDefault="00621B56" w:rsidP="00621B56">
      <w:pPr>
        <w:pStyle w:val="SRtitulek1"/>
      </w:pPr>
      <w:bookmarkStart w:id="17" w:name="_Toc115424543"/>
      <w:r w:rsidRPr="000620C3">
        <w:t xml:space="preserve">Graf </w:t>
      </w:r>
      <w:fldSimple w:instr=" SEQ Graf \* ARABIC ">
        <w:r w:rsidR="001773BF">
          <w:rPr>
            <w:noProof/>
          </w:rPr>
          <w:t>5</w:t>
        </w:r>
      </w:fldSimple>
      <w:r w:rsidRPr="000620C3">
        <w:t xml:space="preserve"> Spotřebitelské ceny </w:t>
      </w:r>
      <w:r w:rsidRPr="000620C3">
        <w:rPr>
          <w:i/>
        </w:rPr>
        <w:t>(průměrná míra inflace v %)</w:t>
      </w:r>
      <w:bookmarkEnd w:id="17"/>
    </w:p>
    <w:p w:rsidR="0006144B" w:rsidRPr="000620C3" w:rsidRDefault="00AD61B5" w:rsidP="0006144B">
      <w:pPr>
        <w:rPr>
          <w:i/>
          <w:iCs/>
          <w:color w:val="000000"/>
          <w:sz w:val="16"/>
          <w:szCs w:val="16"/>
        </w:rPr>
      </w:pPr>
      <w:r w:rsidRPr="000620C3">
        <w:rPr>
          <w:i/>
          <w:noProof/>
          <w:sz w:val="16"/>
          <w:szCs w:val="16"/>
          <w:lang w:val="en-US" w:eastAsia="en-US"/>
        </w:rPr>
        <w:drawing>
          <wp:inline distT="0" distB="0" distL="0" distR="0" wp14:anchorId="10038533">
            <wp:extent cx="2956560" cy="1767840"/>
            <wp:effectExtent l="0" t="0" r="0" b="0"/>
            <wp:docPr id="42" name="Obrázek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56560" cy="1767840"/>
                    </a:xfrm>
                    <a:prstGeom prst="rect">
                      <a:avLst/>
                    </a:prstGeom>
                    <a:noFill/>
                  </pic:spPr>
                </pic:pic>
              </a:graphicData>
            </a:graphic>
          </wp:inline>
        </w:drawing>
      </w:r>
      <w:r w:rsidR="0006144B" w:rsidRPr="000620C3">
        <w:rPr>
          <w:i/>
          <w:sz w:val="16"/>
          <w:szCs w:val="16"/>
        </w:rPr>
        <w:t>Zdroj:</w:t>
      </w:r>
      <w:r w:rsidR="0006144B" w:rsidRPr="000620C3">
        <w:rPr>
          <w:i/>
          <w:iCs/>
          <w:color w:val="000000"/>
          <w:sz w:val="16"/>
          <w:szCs w:val="16"/>
        </w:rPr>
        <w:t xml:space="preserve"> ČSÚ. Výpočty a predikce MF ČR.</w:t>
      </w:r>
    </w:p>
    <w:p w:rsidR="00465339" w:rsidRPr="00465339" w:rsidRDefault="00465339" w:rsidP="00465339">
      <w:pPr>
        <w:rPr>
          <w:rFonts w:eastAsia="Calibri" w:cs="Calibri"/>
        </w:rPr>
      </w:pPr>
      <w:r w:rsidRPr="00465339">
        <w:rPr>
          <w:rFonts w:eastAsia="Calibri" w:cs="Calibri"/>
        </w:rPr>
        <w:t xml:space="preserve">V roce 2025 budou inflační tlaky utvářeny téměř výlučně tržními faktory. Proti očekávanému mírnějšímu růstu cen regulovaných složek energií a zvýšení televizních a rozhlasových koncesionářských poplatků by měl působit bazický efekt letošního zlevnění komoditních složek elektřiny a plynu. Zvýšení spotřebních daní na líh a tabákové výrobky by mělo být důvodem pro mírně kladný příspěvek nepřímých daní. Pokles ceny ropy a obnovené posilování koruny vůči euru i americkému dolaru by měly v příštím roce působit protiinflačně. Inflační tlaky bude prostřednictvím úrokových sazeb díky délce transmise i nadále mírnit měnová politika. Proinflačním faktorem by měl být </w:t>
      </w:r>
      <w:r w:rsidRPr="00465339">
        <w:rPr>
          <w:rFonts w:eastAsia="Calibri" w:cs="Calibri"/>
        </w:rPr>
        <w:t>pokračující vyšší růst mezd. Cenová dynamika u služeb by mohla být v příštím roce nadále zvýšená, tržní složka inflace by tak měla po částečném odeznění aktuálního protiinflačního působení poklesu cen mnoha výrobních vstupů mírně vzrůst.</w:t>
      </w:r>
    </w:p>
    <w:p w:rsidR="00465339" w:rsidRPr="00465339" w:rsidRDefault="00465339" w:rsidP="00465339">
      <w:pPr>
        <w:rPr>
          <w:rFonts w:eastAsia="Calibri" w:cs="Calibri"/>
        </w:rPr>
      </w:pPr>
      <w:r w:rsidRPr="00465339">
        <w:rPr>
          <w:rFonts w:eastAsia="Calibri" w:cs="Calibri"/>
        </w:rPr>
        <w:t>Očekáváme, že průměrná míra inflace v roce 2024 výrazně klesne na 2,4 % a v roce 2025 dále na 2,3 %. V letech 2026 a 2027 by se měla i nadále držet v blízkosti 2% inflačního cíle České národní banky.</w:t>
      </w:r>
    </w:p>
    <w:p w:rsidR="00465339" w:rsidRPr="000620C3" w:rsidRDefault="00465339" w:rsidP="0006144B"/>
    <w:p w:rsidR="005F3E29" w:rsidRPr="000620C3" w:rsidRDefault="005F3E29" w:rsidP="00794F3A">
      <w:pPr>
        <w:pStyle w:val="Nadpis3"/>
      </w:pPr>
      <w:r w:rsidRPr="000620C3">
        <w:t>Trh práce</w:t>
      </w:r>
    </w:p>
    <w:p w:rsidR="00465339" w:rsidRDefault="00465339" w:rsidP="00465339">
      <w:r w:rsidRPr="000620C3">
        <w:t>Na trhu práce se v 1. pololetí 2024</w:t>
      </w:r>
      <w:r>
        <w:t xml:space="preserve"> projevovaly zpožděné efekty slabé hospodářské aktivity z předchozího roku, které nepatrně </w:t>
      </w:r>
      <w:r w:rsidRPr="00D15E72">
        <w:t xml:space="preserve">zmírnily </w:t>
      </w:r>
      <w:r>
        <w:t>napjatou situaci na trhu práce. K určitému snížení nerovnováhy mezi poptávkou a nabídkou přispívají váleční uprchlíci z Ukrajiny, kteří s uplatněním na českém trhu práce nemají výraznější problémy. Ale i přesto je situace v jednotlivých regionech značně rozdílná.</w:t>
      </w:r>
    </w:p>
    <w:p w:rsidR="00621B56" w:rsidRPr="00435EB6" w:rsidRDefault="00621B56" w:rsidP="00621B56">
      <w:pPr>
        <w:pStyle w:val="SRtitulek1"/>
      </w:pPr>
      <w:bookmarkStart w:id="18" w:name="_Toc115424544"/>
      <w:r w:rsidRPr="00435EB6">
        <w:t xml:space="preserve">Graf </w:t>
      </w:r>
      <w:fldSimple w:instr=" SEQ Graf \* ARABIC ">
        <w:r w:rsidR="001773BF">
          <w:rPr>
            <w:noProof/>
          </w:rPr>
          <w:t>6</w:t>
        </w:r>
      </w:fldSimple>
      <w:r w:rsidRPr="00435EB6">
        <w:t xml:space="preserve"> Zaměstnanost </w:t>
      </w:r>
      <w:r w:rsidRPr="00435EB6">
        <w:rPr>
          <w:i/>
        </w:rPr>
        <w:t>(růst proti předchozímu roku v %)</w:t>
      </w:r>
      <w:bookmarkEnd w:id="18"/>
    </w:p>
    <w:p w:rsidR="000001CD" w:rsidRPr="00435EB6" w:rsidRDefault="00435EB6" w:rsidP="000001CD">
      <w:pPr>
        <w:spacing w:after="0"/>
        <w:rPr>
          <w:i/>
          <w:iCs/>
          <w:color w:val="000000"/>
          <w:sz w:val="16"/>
          <w:szCs w:val="16"/>
        </w:rPr>
      </w:pPr>
      <w:r w:rsidRPr="00435EB6">
        <w:rPr>
          <w:i/>
          <w:iCs/>
          <w:noProof/>
          <w:color w:val="000000"/>
          <w:sz w:val="16"/>
          <w:szCs w:val="16"/>
          <w:lang w:val="en-US" w:eastAsia="en-US"/>
        </w:rPr>
        <w:drawing>
          <wp:inline distT="0" distB="0" distL="0" distR="0" wp14:anchorId="232BE21A">
            <wp:extent cx="2956560" cy="1762125"/>
            <wp:effectExtent l="0" t="0" r="0" b="0"/>
            <wp:docPr id="43" name="Obrázek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56560" cy="1762125"/>
                    </a:xfrm>
                    <a:prstGeom prst="rect">
                      <a:avLst/>
                    </a:prstGeom>
                    <a:noFill/>
                  </pic:spPr>
                </pic:pic>
              </a:graphicData>
            </a:graphic>
          </wp:inline>
        </w:drawing>
      </w:r>
    </w:p>
    <w:p w:rsidR="000001CD" w:rsidRPr="00435EB6" w:rsidRDefault="000001CD" w:rsidP="00403895">
      <w:pPr>
        <w:spacing w:after="240"/>
      </w:pPr>
      <w:r w:rsidRPr="00435EB6">
        <w:rPr>
          <w:i/>
          <w:iCs/>
          <w:sz w:val="16"/>
          <w:szCs w:val="16"/>
        </w:rPr>
        <w:t>Zdroj:</w:t>
      </w:r>
      <w:r w:rsidRPr="00435EB6">
        <w:rPr>
          <w:i/>
          <w:iCs/>
          <w:color w:val="000000" w:themeColor="text1"/>
          <w:sz w:val="16"/>
          <w:szCs w:val="16"/>
        </w:rPr>
        <w:t xml:space="preserve"> ČSÚ. Výpočty a predikce MF ČR.</w:t>
      </w:r>
    </w:p>
    <w:p w:rsidR="00465339" w:rsidRPr="00465339" w:rsidRDefault="00465339" w:rsidP="00465339">
      <w:r w:rsidRPr="00465339">
        <w:t xml:space="preserve">Poptávka po práci zůstává silná, což dokládá meziroční nárůst </w:t>
      </w:r>
      <w:r w:rsidRPr="00465339">
        <w:rPr>
          <w:b/>
          <w:bCs/>
        </w:rPr>
        <w:t>zaměstnanosti</w:t>
      </w:r>
      <w:r w:rsidRPr="00465339">
        <w:t xml:space="preserve"> i vysoký a dále se zvyšující počet zaměstnaných cizinců. Nabídka práce by měla být podpořena zvyšováním statutárního věku odchodu do důchodu, naopak negativně bude působit demografický efekt v podobě klesajícího podílu věkových skupin s přirozeně vysokou mírou participace. Zaměstnanost by se v letošním roce měla zvýšit o 0,3 % a díky očekávanému hospodářskému oživení by mohla až do roku 2026 mírně růst. V roce 2027 by se však vlivem nepříznivého demografického vývoje mohla mírně snížit, dopady poklesu populace v produktivním věku na trh práce bude nicméně tlumit pokračující nárůst míry participace.</w:t>
      </w:r>
    </w:p>
    <w:p w:rsidR="00465339" w:rsidRPr="00465339" w:rsidRDefault="00465339" w:rsidP="00465339">
      <w:r w:rsidRPr="00465339">
        <w:rPr>
          <w:b/>
          <w:bCs/>
        </w:rPr>
        <w:t>Míra nezaměstnanosti</w:t>
      </w:r>
      <w:r w:rsidRPr="00465339">
        <w:t xml:space="preserve"> (v metodice Výběrového šetření pracovní sil) zůstává i přes mírný meziroční nárůst na nízké úrovni. V průměru za celý letošní rok by se měla zvýšit na 2,8 %, pro rok 2025 predikujeme její pokles na 2,7 %. V dalších letech by měl velmi pozvolný pokles míry nezaměstnanosti pokračovat.</w:t>
      </w:r>
    </w:p>
    <w:p w:rsidR="00621B56" w:rsidRPr="00435EB6" w:rsidRDefault="00621B56" w:rsidP="00621B56">
      <w:pPr>
        <w:pStyle w:val="SRtitulek1"/>
      </w:pPr>
      <w:bookmarkStart w:id="19" w:name="_Toc115424545"/>
      <w:r w:rsidRPr="00435EB6">
        <w:lastRenderedPageBreak/>
        <w:t xml:space="preserve">Graf </w:t>
      </w:r>
      <w:fldSimple w:instr=" SEQ Graf \* ARABIC ">
        <w:r w:rsidR="001773BF">
          <w:rPr>
            <w:noProof/>
          </w:rPr>
          <w:t>7</w:t>
        </w:r>
      </w:fldSimple>
      <w:r w:rsidRPr="00435EB6">
        <w:t xml:space="preserve"> Míra nezaměstnanosti </w:t>
      </w:r>
      <w:r w:rsidRPr="00435EB6">
        <w:rPr>
          <w:i/>
        </w:rPr>
        <w:t>(v % pracovní síly)</w:t>
      </w:r>
      <w:bookmarkEnd w:id="19"/>
    </w:p>
    <w:p w:rsidR="000001CD" w:rsidRPr="00435EB6" w:rsidRDefault="00435EB6" w:rsidP="000001CD">
      <w:pPr>
        <w:spacing w:after="0"/>
        <w:rPr>
          <w:i/>
          <w:iCs/>
          <w:color w:val="000000"/>
          <w:sz w:val="16"/>
          <w:szCs w:val="16"/>
        </w:rPr>
      </w:pPr>
      <w:r w:rsidRPr="00435EB6">
        <w:rPr>
          <w:i/>
          <w:iCs/>
          <w:noProof/>
          <w:color w:val="000000"/>
          <w:sz w:val="16"/>
          <w:szCs w:val="16"/>
          <w:lang w:val="en-US" w:eastAsia="en-US"/>
        </w:rPr>
        <w:drawing>
          <wp:inline distT="0" distB="0" distL="0" distR="0" wp14:anchorId="2F60027A">
            <wp:extent cx="2950845" cy="1767840"/>
            <wp:effectExtent l="0" t="0" r="1905" b="0"/>
            <wp:docPr id="44" name="Obrázek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50845" cy="1767840"/>
                    </a:xfrm>
                    <a:prstGeom prst="rect">
                      <a:avLst/>
                    </a:prstGeom>
                    <a:noFill/>
                  </pic:spPr>
                </pic:pic>
              </a:graphicData>
            </a:graphic>
          </wp:inline>
        </w:drawing>
      </w:r>
    </w:p>
    <w:p w:rsidR="000001CD" w:rsidRPr="00435EB6" w:rsidRDefault="000001CD" w:rsidP="0047621E">
      <w:pPr>
        <w:pStyle w:val="Zdrojpodtabulkounebografem"/>
      </w:pPr>
      <w:r w:rsidRPr="00435EB6">
        <w:t>Zdroj: ČSÚ. Výpočty a predikce MF ČR.</w:t>
      </w:r>
    </w:p>
    <w:p w:rsidR="00621B56" w:rsidRPr="00435EB6" w:rsidRDefault="00621B56" w:rsidP="00621B56">
      <w:pPr>
        <w:pStyle w:val="SRtitulek1"/>
      </w:pPr>
      <w:bookmarkStart w:id="20" w:name="_Toc115424546"/>
      <w:r w:rsidRPr="00435EB6">
        <w:t xml:space="preserve">Graf </w:t>
      </w:r>
      <w:fldSimple w:instr=" SEQ Graf \* ARABIC ">
        <w:r w:rsidR="001773BF">
          <w:rPr>
            <w:noProof/>
          </w:rPr>
          <w:t>8</w:t>
        </w:r>
      </w:fldSimple>
      <w:r w:rsidRPr="00435EB6">
        <w:t xml:space="preserve"> Objem mezd a platů </w:t>
      </w:r>
      <w:r w:rsidRPr="00435EB6">
        <w:rPr>
          <w:i/>
        </w:rPr>
        <w:t>(domácí koncept, růst proti předchozímu roku v %)</w:t>
      </w:r>
      <w:bookmarkEnd w:id="20"/>
    </w:p>
    <w:p w:rsidR="007C7785" w:rsidRPr="00435EB6" w:rsidRDefault="00435EB6" w:rsidP="0047621E">
      <w:pPr>
        <w:spacing w:after="0"/>
        <w:rPr>
          <w:i/>
          <w:iCs/>
          <w:color w:val="000000" w:themeColor="text1"/>
          <w:sz w:val="16"/>
          <w:szCs w:val="16"/>
        </w:rPr>
      </w:pPr>
      <w:r w:rsidRPr="00435EB6">
        <w:rPr>
          <w:i/>
          <w:iCs/>
          <w:noProof/>
          <w:color w:val="000000" w:themeColor="text1"/>
          <w:sz w:val="16"/>
          <w:szCs w:val="16"/>
          <w:lang w:val="en-US" w:eastAsia="en-US"/>
        </w:rPr>
        <w:drawing>
          <wp:inline distT="0" distB="0" distL="0" distR="0" wp14:anchorId="259FCAAD">
            <wp:extent cx="2956560" cy="1762125"/>
            <wp:effectExtent l="0" t="0" r="0" b="0"/>
            <wp:docPr id="46" name="Obrázek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956560" cy="1762125"/>
                    </a:xfrm>
                    <a:prstGeom prst="rect">
                      <a:avLst/>
                    </a:prstGeom>
                    <a:noFill/>
                  </pic:spPr>
                </pic:pic>
              </a:graphicData>
            </a:graphic>
          </wp:inline>
        </w:drawing>
      </w:r>
    </w:p>
    <w:p w:rsidR="007C7785" w:rsidRPr="00435EB6" w:rsidRDefault="007C7785" w:rsidP="0F4F7CD5">
      <w:pPr>
        <w:spacing w:after="240"/>
        <w:rPr>
          <w:i/>
          <w:iCs/>
          <w:color w:val="000000" w:themeColor="text1"/>
          <w:sz w:val="16"/>
          <w:szCs w:val="16"/>
        </w:rPr>
      </w:pPr>
      <w:r w:rsidRPr="00435EB6">
        <w:rPr>
          <w:i/>
          <w:iCs/>
          <w:sz w:val="16"/>
          <w:szCs w:val="16"/>
        </w:rPr>
        <w:t>Zdroj:</w:t>
      </w:r>
      <w:r w:rsidRPr="00435EB6">
        <w:rPr>
          <w:i/>
          <w:iCs/>
          <w:color w:val="000000"/>
          <w:sz w:val="16"/>
          <w:szCs w:val="16"/>
        </w:rPr>
        <w:t xml:space="preserve"> ČSÚ. Výpočty a predikce MF ČR.</w:t>
      </w:r>
    </w:p>
    <w:p w:rsidR="00465339" w:rsidRPr="00465339" w:rsidRDefault="00465339" w:rsidP="00465339">
      <w:pPr>
        <w:rPr>
          <w:color w:val="1F497D"/>
          <w:sz w:val="22"/>
          <w:szCs w:val="22"/>
          <w:lang w:eastAsia="en-US"/>
        </w:rPr>
      </w:pPr>
      <w:r w:rsidRPr="00465339">
        <w:t xml:space="preserve">Na dynamiku nominálního </w:t>
      </w:r>
      <w:r w:rsidRPr="00465339">
        <w:rPr>
          <w:b/>
          <w:bCs/>
        </w:rPr>
        <w:t>objemu mezd a platů</w:t>
      </w:r>
      <w:r w:rsidRPr="00465339">
        <w:t xml:space="preserve"> v letošním roce pozitivně působí růst poptávky po pracovní síle a omezená nabídka. Mzdové požadavky zaměstnanců jsou navíc podpořeny vysokým růstem spotřebitelských cen a silnou ziskovostí </w:t>
      </w:r>
      <w:r w:rsidRPr="00465339">
        <w:rPr>
          <w:spacing w:val="-1"/>
        </w:rPr>
        <w:t>firem v posledních letech.</w:t>
      </w:r>
      <w:r w:rsidRPr="00465339">
        <w:t xml:space="preserve"> Hlavním faktorem nárůstu výdělků v netržní sféře by v horizontu predikce měla být automatická valorizace platů učitelů, k celkové dynamice ale budou dominantně přispívat tržní odvětví. V příštím roce by výdělky měla podpořit přetrvávající silná poptávka po práci a očekávané zvýšení minimální mzdy o 10 %. </w:t>
      </w:r>
      <w:r w:rsidRPr="00465339">
        <w:rPr>
          <w:bCs/>
        </w:rPr>
        <w:t>Ukončení institutu zaručené mzdy v soukromém sektoru nicméně oslabí dopad do ostatních mezd. Ke zvolnění dynamiky výdělků přispěje určité zmírnění napětí na trhu práce, predikovaná stagnace zisků a výrazný pokles inflace v letošním roce.</w:t>
      </w:r>
      <w:r w:rsidRPr="00465339">
        <w:t xml:space="preserve"> Objem mezd a platů by se tak letos mohl zvýšit o 7,1 % a v roce 2025 o 6,4 %, v dalších letech by růst mohl zpomalit k hodnotám okolo 5 %.</w:t>
      </w:r>
    </w:p>
    <w:p w:rsidR="007C7785" w:rsidRPr="000620C3" w:rsidRDefault="005F3E29" w:rsidP="0F4F7CD5">
      <w:pPr>
        <w:pStyle w:val="Nadpis3"/>
      </w:pPr>
      <w:r w:rsidRPr="000620C3">
        <w:t>Vztahy k zahraničí</w:t>
      </w:r>
      <w:r w:rsidR="17BB399A" w:rsidRPr="000620C3">
        <w:t xml:space="preserve"> </w:t>
      </w:r>
    </w:p>
    <w:p w:rsidR="00465339" w:rsidRDefault="00465339" w:rsidP="00465339">
      <w:pPr>
        <w:rPr>
          <w:rFonts w:eastAsia="Calibri" w:cs="Calibri"/>
        </w:rPr>
      </w:pPr>
      <w:r w:rsidRPr="000620C3">
        <w:rPr>
          <w:rFonts w:eastAsia="Calibri" w:cs="Calibri"/>
        </w:rPr>
        <w:t>Odeznívání frikcí v dodavatelských řetězcích</w:t>
      </w:r>
      <w:r w:rsidRPr="0CE36752">
        <w:rPr>
          <w:rFonts w:eastAsia="Calibri" w:cs="Calibri"/>
        </w:rPr>
        <w:t xml:space="preserve"> a zmírnění cenových tlaků u energetických komodit a jiných surovin </w:t>
      </w:r>
      <w:r w:rsidRPr="0CE36752">
        <w:rPr>
          <w:rFonts w:eastAsia="Calibri" w:cs="Calibri"/>
        </w:rPr>
        <w:t xml:space="preserve">přispěly v roce 2023 k přebytku </w:t>
      </w:r>
      <w:r w:rsidRPr="0CE36752">
        <w:rPr>
          <w:rFonts w:eastAsia="Calibri" w:cs="Calibri"/>
          <w:b/>
          <w:bCs/>
        </w:rPr>
        <w:t>běžného účtu</w:t>
      </w:r>
      <w:r w:rsidRPr="0CE36752">
        <w:rPr>
          <w:rFonts w:eastAsia="Calibri" w:cs="Calibri"/>
        </w:rPr>
        <w:t xml:space="preserve"> platební bilance ve výši 0,4</w:t>
      </w:r>
      <w:r>
        <w:rPr>
          <w:rFonts w:eastAsia="Calibri" w:cs="Calibri"/>
        </w:rPr>
        <w:t> </w:t>
      </w:r>
      <w:r w:rsidRPr="0CE36752">
        <w:rPr>
          <w:rFonts w:eastAsia="Calibri" w:cs="Calibri"/>
        </w:rPr>
        <w:t xml:space="preserve">% HDP. V ročním klouzavém úhrnu se kladná bilance v 1. čtvrtletí 2024 vlivem nárůstu přebytku zahraničního obchodu se zbožím a snížení deficitu prvotních a druhotných důchodů </w:t>
      </w:r>
      <w:r w:rsidRPr="0CE36752">
        <w:rPr>
          <w:rFonts w:asciiTheme="minorHAnsi" w:eastAsiaTheme="minorEastAsia" w:hAnsiTheme="minorHAnsi" w:cstheme="minorBidi"/>
        </w:rPr>
        <w:t>zvýšila na 1,3</w:t>
      </w:r>
      <w:r>
        <w:rPr>
          <w:rFonts w:asciiTheme="minorHAnsi" w:eastAsiaTheme="minorEastAsia" w:hAnsiTheme="minorHAnsi" w:cstheme="minorBidi"/>
        </w:rPr>
        <w:t> </w:t>
      </w:r>
      <w:r w:rsidRPr="0CE36752">
        <w:rPr>
          <w:rFonts w:asciiTheme="minorHAnsi" w:eastAsiaTheme="minorEastAsia" w:hAnsiTheme="minorHAnsi" w:cstheme="minorBidi"/>
        </w:rPr>
        <w:t>% HDP.</w:t>
      </w:r>
    </w:p>
    <w:p w:rsidR="00465339" w:rsidRDefault="00465339" w:rsidP="00465339">
      <w:pPr>
        <w:rPr>
          <w:rFonts w:asciiTheme="minorHAnsi" w:eastAsiaTheme="minorEastAsia" w:hAnsiTheme="minorHAnsi" w:cstheme="minorBidi"/>
        </w:rPr>
      </w:pPr>
      <w:r w:rsidRPr="0CE36752">
        <w:rPr>
          <w:rFonts w:eastAsia="Calibri" w:cs="Calibri"/>
          <w:color w:val="000000" w:themeColor="text1"/>
        </w:rPr>
        <w:t>Dom</w:t>
      </w:r>
      <w:r w:rsidRPr="0CE36752">
        <w:rPr>
          <w:rFonts w:eastAsia="Calibri" w:cs="Calibri"/>
        </w:rPr>
        <w:t xml:space="preserve">inantní položkou určující vývoj běžného účtu je dlouhodobě </w:t>
      </w:r>
      <w:r w:rsidRPr="0CE36752">
        <w:rPr>
          <w:rFonts w:eastAsia="Calibri" w:cs="Calibri"/>
          <w:b/>
          <w:bCs/>
        </w:rPr>
        <w:t>bilance obchodu se zbožím</w:t>
      </w:r>
      <w:r w:rsidRPr="000975B1">
        <w:rPr>
          <w:rFonts w:eastAsia="Calibri" w:cs="Calibri"/>
          <w:bCs/>
        </w:rPr>
        <w:t>, která</w:t>
      </w:r>
      <w:r>
        <w:rPr>
          <w:rFonts w:eastAsia="Calibri" w:cs="Calibri"/>
          <w:b/>
          <w:bCs/>
        </w:rPr>
        <w:t xml:space="preserve"> </w:t>
      </w:r>
      <w:r w:rsidRPr="0CE36752">
        <w:rPr>
          <w:rFonts w:eastAsia="Calibri" w:cs="Calibri"/>
        </w:rPr>
        <w:t>v 1. čtvrtletí 2024 dosáhla výrazného přebytku 4,4</w:t>
      </w:r>
      <w:r>
        <w:rPr>
          <w:rFonts w:eastAsia="Calibri" w:cs="Calibri"/>
        </w:rPr>
        <w:t> </w:t>
      </w:r>
      <w:r w:rsidRPr="0CE36752">
        <w:rPr>
          <w:rFonts w:eastAsia="Calibri" w:cs="Calibri"/>
        </w:rPr>
        <w:t>% HDP. Ten odráží zejména zlevnění dovážených energetických komodit a</w:t>
      </w:r>
      <w:r>
        <w:rPr>
          <w:rFonts w:eastAsia="Calibri" w:cs="Calibri"/>
        </w:rPr>
        <w:t> </w:t>
      </w:r>
      <w:r w:rsidRPr="0CE36752">
        <w:rPr>
          <w:rFonts w:eastAsia="Calibri" w:cs="Calibri"/>
        </w:rPr>
        <w:t>slabou tuzemskou investiční aktivitu</w:t>
      </w:r>
      <w:r w:rsidRPr="0CE36752">
        <w:rPr>
          <w:rFonts w:asciiTheme="minorHAnsi" w:eastAsiaTheme="minorEastAsia" w:hAnsiTheme="minorHAnsi" w:cstheme="minorBidi"/>
        </w:rPr>
        <w:t>. Tyto faktory by přitom měly být směrodatné i po zbytek letošního roku. V následujících letech nicméně v souvislosti s oživením dovozně náročné investiční aktivity očekáváme postupné snižování kladné bilance zahraničního obchodu se zbožím</w:t>
      </w:r>
      <w:r>
        <w:rPr>
          <w:rFonts w:asciiTheme="minorHAnsi" w:eastAsiaTheme="minorEastAsia" w:hAnsiTheme="minorHAnsi" w:cstheme="minorBidi"/>
        </w:rPr>
        <w:t>.</w:t>
      </w:r>
    </w:p>
    <w:p w:rsidR="00465339" w:rsidRDefault="00465339" w:rsidP="00465339">
      <w:pPr>
        <w:rPr>
          <w:rFonts w:asciiTheme="minorHAnsi" w:eastAsiaTheme="minorEastAsia" w:hAnsiTheme="minorHAnsi" w:cstheme="minorBidi"/>
        </w:rPr>
      </w:pPr>
      <w:r w:rsidRPr="0CE36752">
        <w:rPr>
          <w:rFonts w:asciiTheme="minorHAnsi" w:eastAsiaTheme="minorEastAsia" w:hAnsiTheme="minorHAnsi" w:cstheme="minorBidi"/>
        </w:rPr>
        <w:t xml:space="preserve">K podstatnému meziročnímu zlepšení došlo u dlouhodobě záporné bilance </w:t>
      </w:r>
      <w:r w:rsidRPr="0CE36752">
        <w:rPr>
          <w:rFonts w:asciiTheme="minorHAnsi" w:eastAsiaTheme="minorEastAsia" w:hAnsiTheme="minorHAnsi" w:cstheme="minorBidi"/>
          <w:b/>
          <w:bCs/>
        </w:rPr>
        <w:t>prvotních důchodů.</w:t>
      </w:r>
      <w:r w:rsidRPr="0CE36752">
        <w:rPr>
          <w:rFonts w:asciiTheme="minorHAnsi" w:eastAsiaTheme="minorEastAsia" w:hAnsiTheme="minorHAnsi" w:cstheme="minorBidi"/>
        </w:rPr>
        <w:t xml:space="preserve"> Deficit se na začátku letošního roku </w:t>
      </w:r>
      <w:r>
        <w:rPr>
          <w:rFonts w:asciiTheme="minorHAnsi" w:eastAsiaTheme="minorEastAsia" w:hAnsiTheme="minorHAnsi" w:cstheme="minorBidi"/>
        </w:rPr>
        <w:t>díky</w:t>
      </w:r>
      <w:r w:rsidRPr="0CE36752">
        <w:rPr>
          <w:rFonts w:asciiTheme="minorHAnsi" w:eastAsiaTheme="minorEastAsia" w:hAnsiTheme="minorHAnsi" w:cstheme="minorBidi"/>
        </w:rPr>
        <w:t xml:space="preserve"> nižší</w:t>
      </w:r>
      <w:r>
        <w:rPr>
          <w:rFonts w:asciiTheme="minorHAnsi" w:eastAsiaTheme="minorEastAsia" w:hAnsiTheme="minorHAnsi" w:cstheme="minorBidi"/>
        </w:rPr>
        <w:t>mu</w:t>
      </w:r>
      <w:r w:rsidRPr="0CE36752">
        <w:rPr>
          <w:rFonts w:asciiTheme="minorHAnsi" w:eastAsiaTheme="minorEastAsia" w:hAnsiTheme="minorHAnsi" w:cstheme="minorBidi"/>
        </w:rPr>
        <w:t xml:space="preserve"> odlivu důchodů z přímých investic (zejména dividend)</w:t>
      </w:r>
      <w:r>
        <w:rPr>
          <w:rFonts w:asciiTheme="minorHAnsi" w:eastAsiaTheme="minorEastAsia" w:hAnsiTheme="minorHAnsi" w:cstheme="minorBidi"/>
        </w:rPr>
        <w:t xml:space="preserve"> </w:t>
      </w:r>
      <w:r w:rsidRPr="0CE36752">
        <w:rPr>
          <w:rFonts w:asciiTheme="minorHAnsi" w:eastAsiaTheme="minorEastAsia" w:hAnsiTheme="minorHAnsi" w:cstheme="minorBidi"/>
        </w:rPr>
        <w:t xml:space="preserve">zmírnil o 1,3 % HDP na 4,3 % HDP. Za tím stojí mj. </w:t>
      </w:r>
      <w:r>
        <w:rPr>
          <w:rFonts w:asciiTheme="minorHAnsi" w:eastAsiaTheme="minorEastAsia" w:hAnsiTheme="minorHAnsi" w:cstheme="minorBidi"/>
        </w:rPr>
        <w:t>i</w:t>
      </w:r>
      <w:r w:rsidRPr="0CE36752">
        <w:rPr>
          <w:rFonts w:asciiTheme="minorHAnsi" w:eastAsiaTheme="minorEastAsia" w:hAnsiTheme="minorHAnsi" w:cstheme="minorBidi"/>
        </w:rPr>
        <w:t xml:space="preserve"> rekordně vysoká suma vyplacených dividend ve 3. čtvrtletí 2022, kdy se projevil efekt vyplacení zadržených zisků domácího bankovního sektoru z let 2019 a 2020. S ohledem na predikovaný vývoj hospodářského výkonu a hrubého provozního přebytku očekáváme, že schodek prvotních důchodů se v poměrovém vyjádření v následujících letech bude pohybovat na podobných hodnotách.</w:t>
      </w:r>
    </w:p>
    <w:p w:rsidR="00465339" w:rsidRDefault="00465339" w:rsidP="00465339">
      <w:pPr>
        <w:rPr>
          <w:rFonts w:eastAsia="Calibri" w:cs="Calibri"/>
        </w:rPr>
      </w:pPr>
      <w:r>
        <w:rPr>
          <w:rFonts w:eastAsia="Calibri" w:cs="Calibri"/>
        </w:rPr>
        <w:t xml:space="preserve">Bilance služeb a druhotných důchodů by v úhrnu v celém horizontu makroekonomického rámce měla být téměř stabilní na úrovni poblíž 1 % HDP. </w:t>
      </w:r>
      <w:r w:rsidRPr="0CE36752">
        <w:rPr>
          <w:rFonts w:eastAsia="Calibri" w:cs="Calibri"/>
        </w:rPr>
        <w:t>Ve výsledku by tak saldo běžného účtu platební bilance mohlo v letošním roce dosáhnout přebytku ve výši 1,6 % HDP, který by se v příštím roce mohl snížit na 0,1 % HDP. V</w:t>
      </w:r>
      <w:r>
        <w:rPr>
          <w:rFonts w:eastAsia="Calibri" w:cs="Calibri"/>
        </w:rPr>
        <w:t xml:space="preserve"> dalších </w:t>
      </w:r>
      <w:r w:rsidRPr="0CE36752">
        <w:rPr>
          <w:rFonts w:eastAsia="Calibri" w:cs="Calibri"/>
        </w:rPr>
        <w:t>letech by bilance běžného účtu s ohledem na očekávánou silnou investiční aktivitu měla vykazovat záporná salda.</w:t>
      </w:r>
    </w:p>
    <w:p w:rsidR="00CF07C4" w:rsidRPr="00435EB6" w:rsidRDefault="00CF07C4" w:rsidP="00CF07C4">
      <w:pPr>
        <w:pStyle w:val="Titulek"/>
      </w:pPr>
      <w:bookmarkStart w:id="21" w:name="_Toc115424547"/>
      <w:r w:rsidRPr="00435EB6">
        <w:t xml:space="preserve">Graf </w:t>
      </w:r>
      <w:fldSimple w:instr=" SEQ Graf \* ARABIC ">
        <w:r w:rsidR="001773BF">
          <w:rPr>
            <w:noProof/>
          </w:rPr>
          <w:t>9</w:t>
        </w:r>
      </w:fldSimple>
      <w:r w:rsidRPr="00435EB6">
        <w:t xml:space="preserve"> Saldo běžného účtu platební bilance </w:t>
      </w:r>
      <w:r w:rsidRPr="00435EB6">
        <w:rPr>
          <w:i/>
        </w:rPr>
        <w:t>(v % HDP)</w:t>
      </w:r>
      <w:bookmarkEnd w:id="21"/>
    </w:p>
    <w:p w:rsidR="00332D4D" w:rsidRPr="00435EB6" w:rsidRDefault="00435EB6" w:rsidP="007C7785">
      <w:pPr>
        <w:spacing w:after="240"/>
        <w:rPr>
          <w:b/>
          <w:u w:val="single"/>
        </w:rPr>
      </w:pPr>
      <w:r w:rsidRPr="00435EB6">
        <w:rPr>
          <w:i/>
          <w:noProof/>
          <w:sz w:val="16"/>
          <w:szCs w:val="16"/>
          <w:lang w:val="en-US" w:eastAsia="en-US"/>
        </w:rPr>
        <w:drawing>
          <wp:inline distT="0" distB="0" distL="0" distR="0" wp14:anchorId="303AD4D9">
            <wp:extent cx="2950845" cy="1767840"/>
            <wp:effectExtent l="0" t="0" r="1905" b="0"/>
            <wp:docPr id="47" name="Obrázek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50845" cy="1767840"/>
                    </a:xfrm>
                    <a:prstGeom prst="rect">
                      <a:avLst/>
                    </a:prstGeom>
                    <a:noFill/>
                  </pic:spPr>
                </pic:pic>
              </a:graphicData>
            </a:graphic>
          </wp:inline>
        </w:drawing>
      </w:r>
      <w:r w:rsidR="005F3E29" w:rsidRPr="00435EB6">
        <w:rPr>
          <w:i/>
          <w:sz w:val="16"/>
          <w:szCs w:val="16"/>
        </w:rPr>
        <w:t>Zdroj:</w:t>
      </w:r>
      <w:r w:rsidR="005F3E29" w:rsidRPr="00435EB6">
        <w:rPr>
          <w:i/>
          <w:iCs/>
          <w:color w:val="000000"/>
          <w:sz w:val="16"/>
          <w:szCs w:val="16"/>
        </w:rPr>
        <w:t xml:space="preserve"> </w:t>
      </w:r>
      <w:r w:rsidR="00DC6329" w:rsidRPr="00435EB6">
        <w:rPr>
          <w:i/>
          <w:iCs/>
          <w:color w:val="000000"/>
          <w:sz w:val="16"/>
          <w:szCs w:val="16"/>
        </w:rPr>
        <w:t xml:space="preserve">ČNB, </w:t>
      </w:r>
      <w:r w:rsidR="005F3E29" w:rsidRPr="00435EB6">
        <w:rPr>
          <w:i/>
          <w:iCs/>
          <w:color w:val="000000"/>
          <w:sz w:val="16"/>
          <w:szCs w:val="16"/>
        </w:rPr>
        <w:t>ČSÚ. Výpočty a predikce MF ČR.</w:t>
      </w:r>
      <w:bookmarkStart w:id="22" w:name="_Ref465151154"/>
    </w:p>
    <w:p w:rsidR="00BE28B2" w:rsidRDefault="00BE28B2">
      <w:pPr>
        <w:spacing w:after="200" w:line="276" w:lineRule="auto"/>
        <w:jc w:val="left"/>
        <w:rPr>
          <w:highlight w:val="cyan"/>
        </w:rPr>
      </w:pPr>
      <w:r>
        <w:rPr>
          <w:highlight w:val="cyan"/>
        </w:rPr>
        <w:br w:type="page"/>
      </w:r>
    </w:p>
    <w:p w:rsidR="00BE28B2" w:rsidRPr="002A23FD" w:rsidRDefault="00BE28B2" w:rsidP="00332D4D">
      <w:pPr>
        <w:rPr>
          <w:highlight w:val="cyan"/>
        </w:rPr>
        <w:sectPr w:rsidR="00BE28B2" w:rsidRPr="002A23FD" w:rsidSect="007A1923">
          <w:headerReference w:type="default" r:id="rId28"/>
          <w:footerReference w:type="even" r:id="rId29"/>
          <w:type w:val="continuous"/>
          <w:pgSz w:w="11906" w:h="16838" w:code="9"/>
          <w:pgMar w:top="1134" w:right="1134" w:bottom="1418" w:left="1134" w:header="709" w:footer="709" w:gutter="0"/>
          <w:cols w:num="2" w:space="397"/>
          <w:docGrid w:linePitch="360"/>
        </w:sectPr>
      </w:pPr>
    </w:p>
    <w:p w:rsidR="00332D4D" w:rsidRPr="00626839" w:rsidRDefault="00612BDB" w:rsidP="00FE5D3D">
      <w:pPr>
        <w:pStyle w:val="Nadpis2"/>
      </w:pPr>
      <w:bookmarkStart w:id="23" w:name="_Toc14695476"/>
      <w:bookmarkStart w:id="24" w:name="_Toc206730429"/>
      <w:bookmarkStart w:id="25" w:name="_Toc238787328"/>
      <w:bookmarkStart w:id="26" w:name="_Toc239042742"/>
      <w:bookmarkStart w:id="27" w:name="_Toc239056371"/>
      <w:bookmarkStart w:id="28" w:name="_Toc239056409"/>
      <w:bookmarkStart w:id="29" w:name="_Toc525714699"/>
      <w:bookmarkStart w:id="30" w:name="_Toc175914410"/>
      <w:bookmarkEnd w:id="22"/>
      <w:r w:rsidRPr="00626839">
        <w:lastRenderedPageBreak/>
        <w:t>Nezávislé ověření makroekonomického rámce</w:t>
      </w:r>
      <w:bookmarkEnd w:id="23"/>
      <w:bookmarkEnd w:id="30"/>
      <w:r w:rsidRPr="00626839">
        <w:t xml:space="preserve"> </w:t>
      </w:r>
      <w:bookmarkEnd w:id="24"/>
      <w:bookmarkEnd w:id="25"/>
      <w:bookmarkEnd w:id="26"/>
      <w:bookmarkEnd w:id="27"/>
      <w:bookmarkEnd w:id="28"/>
      <w:bookmarkEnd w:id="29"/>
    </w:p>
    <w:p w:rsidR="00332D4D" w:rsidRPr="00626839" w:rsidRDefault="00332D4D" w:rsidP="00332D4D">
      <w:pPr>
        <w:sectPr w:rsidR="00332D4D" w:rsidRPr="00626839" w:rsidSect="007A1923">
          <w:type w:val="continuous"/>
          <w:pgSz w:w="11906" w:h="16838" w:code="9"/>
          <w:pgMar w:top="1134" w:right="1134" w:bottom="1418" w:left="1134" w:header="709" w:footer="709" w:gutter="0"/>
          <w:cols w:space="709"/>
          <w:docGrid w:linePitch="360"/>
        </w:sectPr>
      </w:pPr>
    </w:p>
    <w:p w:rsidR="00612BDB" w:rsidRPr="00626839" w:rsidRDefault="00612BDB" w:rsidP="008F58BF">
      <w:pPr>
        <w:pStyle w:val="Nadpis3"/>
        <w:spacing w:before="0"/>
        <w:jc w:val="left"/>
      </w:pPr>
      <w:r w:rsidRPr="00626839">
        <w:t>Zhodnocení Výborem pro rozpočtové prognózy</w:t>
      </w:r>
    </w:p>
    <w:p w:rsidR="00465339" w:rsidRPr="00404A06" w:rsidRDefault="00465339" w:rsidP="00465339">
      <w:pPr>
        <w:rPr>
          <w:b/>
        </w:rPr>
      </w:pPr>
      <w:r w:rsidRPr="005F1376">
        <w:t>Výbor pro rozpočtové prognózy, v souladu se zákonem č. 23/2017 Sb. o pravidlech rozpočtové odpovědnosti, ve znění pozd</w:t>
      </w:r>
      <w:r>
        <w:t>ějších předpisů, posoudil dne 29</w:t>
      </w:r>
      <w:r w:rsidRPr="005F1376">
        <w:t>. srpna 202</w:t>
      </w:r>
      <w:r>
        <w:t>4</w:t>
      </w:r>
      <w:r w:rsidRPr="005F1376">
        <w:t xml:space="preserve"> Makroekonomickou predikci České republiky Mi</w:t>
      </w:r>
      <w:r>
        <w:t>nisterstva financí ze srpna 2024</w:t>
      </w:r>
      <w:r w:rsidRPr="005F1376">
        <w:t xml:space="preserve">, z níž vychází tento makroekonomický rámec, z hlediska pravděpodobnosti jejího naplnění a vhodnosti použití v rozpočtovém procesu. Výbor prognózu vyhodnotil </w:t>
      </w:r>
      <w:r w:rsidRPr="00404A06">
        <w:t>jako realistickou</w:t>
      </w:r>
      <w:r w:rsidR="00404A06" w:rsidRPr="00404A06">
        <w:t>.</w:t>
      </w:r>
    </w:p>
    <w:p w:rsidR="00612BDB" w:rsidRPr="00626839" w:rsidRDefault="00612BDB" w:rsidP="006C0D3A">
      <w:pPr>
        <w:pStyle w:val="Nadpis3"/>
        <w:spacing w:before="0"/>
      </w:pPr>
      <w:r w:rsidRPr="00626839">
        <w:t>Monitoring prognóz</w:t>
      </w:r>
    </w:p>
    <w:p w:rsidR="00465339" w:rsidRDefault="00465339" w:rsidP="00465339">
      <w:r>
        <w:t xml:space="preserve">MF ČR průběžně monitoruje makroekonomické prognózy 7 tuzemských (Česká bankovní asociace, Česká národní </w:t>
      </w:r>
      <w:r>
        <w:t>banka, Ministerstvo práce a sociálních věcí, domácí banky) a 4 zahraničních (Evropská komise, Mezinárodní měnový fond, Organizace pro hospodářskou spolupráci a</w:t>
      </w:r>
      <w:r w:rsidR="001711DC">
        <w:t> </w:t>
      </w:r>
      <w:r>
        <w:t xml:space="preserve">rozvoj, The Economist) institucí, které předpovídají budoucí vývoj české ekonomiky. </w:t>
      </w:r>
    </w:p>
    <w:p w:rsidR="00465339" w:rsidRDefault="00465339" w:rsidP="00465339">
      <w:r>
        <w:t>Očekávaný růst HDP české ekonomiky se oproti průměru monitorovaných prognóz takřka neliší a obdobně je tomu i u průměrné míry inflace. Očekávaný růst průměrné mzdy v roce 2025 je v predikci MF ČR o něco silnější. Pro rok 2024 MF ČR oproti průměru prognóz sledovaných institucí počítá s výraznějším přebytkem na běžném účtu platební bilance, pro rok 2025 naopak s víceméně vyrovnaným saldem.</w:t>
      </w:r>
    </w:p>
    <w:p w:rsidR="00287AC6" w:rsidRPr="002A23FD" w:rsidRDefault="00287AC6" w:rsidP="0F4F7CD5">
      <w:pPr>
        <w:rPr>
          <w:highlight w:val="cyan"/>
        </w:rPr>
        <w:sectPr w:rsidR="00287AC6" w:rsidRPr="002A23FD" w:rsidSect="00586243">
          <w:type w:val="continuous"/>
          <w:pgSz w:w="11906" w:h="16838" w:code="9"/>
          <w:pgMar w:top="1134" w:right="1134" w:bottom="1418" w:left="1134" w:header="709" w:footer="709" w:gutter="0"/>
          <w:cols w:num="2" w:space="397"/>
          <w:docGrid w:linePitch="360"/>
        </w:sectPr>
      </w:pPr>
    </w:p>
    <w:p w:rsidR="00A55CCA" w:rsidRPr="00626839" w:rsidRDefault="00A55CCA" w:rsidP="00A55CCA">
      <w:pPr>
        <w:pStyle w:val="SRtitulek1"/>
      </w:pPr>
      <w:bookmarkStart w:id="31" w:name="_Toc175914442"/>
      <w:r w:rsidRPr="00626839">
        <w:t xml:space="preserve">Tabulka </w:t>
      </w:r>
      <w:fldSimple w:instr=" SEQ Tabulka \* ARABIC ">
        <w:r w:rsidR="001773BF">
          <w:rPr>
            <w:noProof/>
          </w:rPr>
          <w:t>2</w:t>
        </w:r>
      </w:fldSimple>
      <w:r w:rsidRPr="00626839">
        <w:t xml:space="preserve"> Ověření makroekonomického rámce nezávislými prognózami</w:t>
      </w:r>
      <w:bookmarkEnd w:id="31"/>
    </w:p>
    <w:p w:rsidR="008E4347" w:rsidRPr="00626839" w:rsidRDefault="00626839" w:rsidP="008E4347">
      <w:pPr>
        <w:spacing w:after="0"/>
      </w:pPr>
      <w:r w:rsidRPr="00626839">
        <w:rPr>
          <w:noProof/>
          <w:lang w:val="en-US" w:eastAsia="en-US"/>
        </w:rPr>
        <w:drawing>
          <wp:inline distT="0" distB="0" distL="0" distR="0">
            <wp:extent cx="6105525" cy="1409700"/>
            <wp:effectExtent l="0" t="0" r="9525" b="0"/>
            <wp:docPr id="51" name="Obrázek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05525" cy="1409700"/>
                    </a:xfrm>
                    <a:prstGeom prst="rect">
                      <a:avLst/>
                    </a:prstGeom>
                    <a:noFill/>
                    <a:ln>
                      <a:noFill/>
                    </a:ln>
                  </pic:spPr>
                </pic:pic>
              </a:graphicData>
            </a:graphic>
          </wp:inline>
        </w:drawing>
      </w:r>
    </w:p>
    <w:p w:rsidR="00332D4D" w:rsidRPr="00626839" w:rsidRDefault="00332D4D" w:rsidP="00332D4D">
      <w:pPr>
        <w:pStyle w:val="Zdrojpodtabulkounebografem"/>
      </w:pPr>
      <w:r w:rsidRPr="00626839">
        <w:t xml:space="preserve">Zdroj: </w:t>
      </w:r>
      <w:r w:rsidR="00287AC6" w:rsidRPr="00626839">
        <w:t>Prognózy jednotlivých institucí k</w:t>
      </w:r>
      <w:r w:rsidR="00ED12C7" w:rsidRPr="00626839">
        <w:t> 1</w:t>
      </w:r>
      <w:r w:rsidR="00626839">
        <w:t>6</w:t>
      </w:r>
      <w:r w:rsidR="003E3315" w:rsidRPr="00626839">
        <w:t>.</w:t>
      </w:r>
      <w:r w:rsidR="00ED12C7" w:rsidRPr="00626839">
        <w:t> srpnu 202</w:t>
      </w:r>
      <w:r w:rsidR="00626839">
        <w:t>4</w:t>
      </w:r>
      <w:r w:rsidR="00287AC6" w:rsidRPr="00626839">
        <w:t>. Výpočty a predikce MF ČR.</w:t>
      </w:r>
    </w:p>
    <w:p w:rsidR="00A279F2" w:rsidRPr="002A23FD" w:rsidRDefault="00A279F2" w:rsidP="005C6EB8">
      <w:pPr>
        <w:pStyle w:val="Nadpis1"/>
        <w:rPr>
          <w:highlight w:val="cyan"/>
        </w:rPr>
        <w:sectPr w:rsidR="00A279F2" w:rsidRPr="002A23FD" w:rsidSect="006E7D36">
          <w:type w:val="continuous"/>
          <w:pgSz w:w="11906" w:h="16838" w:code="9"/>
          <w:pgMar w:top="1134" w:right="1134" w:bottom="1418" w:left="1134" w:header="709" w:footer="709" w:gutter="0"/>
          <w:cols w:space="708"/>
          <w:docGrid w:linePitch="360"/>
        </w:sectPr>
      </w:pPr>
    </w:p>
    <w:p w:rsidR="00DE774F" w:rsidRPr="000620C3" w:rsidRDefault="00DE774F" w:rsidP="00037618">
      <w:pPr>
        <w:pStyle w:val="Nadpis1"/>
        <w:tabs>
          <w:tab w:val="clear" w:pos="6663"/>
          <w:tab w:val="num" w:pos="6379"/>
        </w:tabs>
        <w:ind w:left="567"/>
      </w:pPr>
      <w:bookmarkStart w:id="32" w:name="_Toc175914411"/>
      <w:r w:rsidRPr="000620C3">
        <w:lastRenderedPageBreak/>
        <w:t>Fiskální politika a veřejné finance</w:t>
      </w:r>
      <w:bookmarkEnd w:id="32"/>
    </w:p>
    <w:p w:rsidR="00DE774F" w:rsidRPr="000620C3" w:rsidRDefault="00DE774F" w:rsidP="00DE774F">
      <w:pPr>
        <w:sectPr w:rsidR="00DE774F" w:rsidRPr="000620C3" w:rsidSect="006E7D36">
          <w:type w:val="continuous"/>
          <w:pgSz w:w="11906" w:h="16838" w:code="9"/>
          <w:pgMar w:top="1134" w:right="1134" w:bottom="1418" w:left="1134" w:header="709" w:footer="709" w:gutter="0"/>
          <w:cols w:space="708"/>
          <w:docGrid w:linePitch="360"/>
        </w:sectPr>
      </w:pPr>
    </w:p>
    <w:p w:rsidR="00465339" w:rsidRPr="00465339" w:rsidRDefault="00465339" w:rsidP="00465339">
      <w:r w:rsidRPr="00465339">
        <w:t xml:space="preserve">Vývoj posledních let je značně ovlivněn externími šoky, ať už se jedná o pandemii v letech 2020 a 2021 nebo válečný konflikt na Ukrajině a energetickou krizi. Hospodářské a společenské dopady takového rozsahu, které si vyžádaly aktivní přístup fiskální politiky. S překonáním těchto krizí se do popředí opět dostává otázka střednědobé a dlouhodobé udržitelnosti veřejných financí. </w:t>
      </w:r>
    </w:p>
    <w:p w:rsidR="00460FFD" w:rsidRPr="002A23FD" w:rsidRDefault="00460FFD" w:rsidP="00460FFD">
      <w:pPr>
        <w:rPr>
          <w:highlight w:val="cyan"/>
        </w:rPr>
        <w:sectPr w:rsidR="00460FFD" w:rsidRPr="002A23FD" w:rsidSect="006E7D36">
          <w:headerReference w:type="default" r:id="rId31"/>
          <w:footerReference w:type="even" r:id="rId32"/>
          <w:type w:val="continuous"/>
          <w:pgSz w:w="11906" w:h="16838" w:code="9"/>
          <w:pgMar w:top="1134" w:right="1134" w:bottom="1418" w:left="1134" w:header="709" w:footer="709" w:gutter="0"/>
          <w:cols w:space="708"/>
          <w:docGrid w:linePitch="360"/>
        </w:sectPr>
      </w:pPr>
    </w:p>
    <w:p w:rsidR="00465339" w:rsidRPr="00465339" w:rsidRDefault="00465339" w:rsidP="00465339">
      <w:r w:rsidRPr="00465339">
        <w:t>Přístup k </w:t>
      </w:r>
      <w:r w:rsidRPr="00465339">
        <w:rPr>
          <w:b/>
        </w:rPr>
        <w:t>nastavení fiskální politiky</w:t>
      </w:r>
      <w:r w:rsidRPr="00465339">
        <w:t xml:space="preserve"> obecně definuje zákon č. 23/2017 Sb., o pravidlech rozpočtové odpovědnosti, ve znění pozdějších předpisů. Ten v důsledku dvou novel v roce 2020 umožnil mnohem větší fiskální expanzi, než by jinak bylo možné. V rámci celé EU byla poprvé v historii aktivována pro rok 2020 </w:t>
      </w:r>
      <w:r w:rsidRPr="00465339">
        <w:rPr>
          <w:b/>
        </w:rPr>
        <w:t>všeobecná úniková doložka z pravidel Paktu o stabilitě a růstu</w:t>
      </w:r>
      <w:r w:rsidRPr="00465339">
        <w:t xml:space="preserve">, kterou v důsledku přetrvávajících silných rizik a nejistot vychýlených směrem dolů Evropská komise následně prodloužila i pro roky 2021 až 2023. </w:t>
      </w:r>
    </w:p>
    <w:p w:rsidR="00465339" w:rsidRPr="00465339" w:rsidRDefault="00465339" w:rsidP="00465339">
      <w:r w:rsidRPr="00465339">
        <w:t xml:space="preserve">Hospodaření veřejných financí </w:t>
      </w:r>
      <w:r w:rsidRPr="00465339">
        <w:rPr>
          <w:bCs/>
        </w:rPr>
        <w:t>v roce 2023</w:t>
      </w:r>
      <w:r w:rsidRPr="00465339">
        <w:t xml:space="preserve"> bylo ovlivněno vývojem na trhu s energiemi, vysokou mírou inflace a zavedením řady opatření, většinou dočasné povahy, které v daném roce měly celkově negativní efekt na saldo veřejných financí. Saldo sektoru vládních institucí dosáhlo </w:t>
      </w:r>
      <w:r w:rsidR="00AE0A6D">
        <w:t>-</w:t>
      </w:r>
      <w:r w:rsidRPr="00465339">
        <w:t xml:space="preserve">3,8 % HDP. Pro další období připravila vládní koalice soubor opatření v rámci zákona č. 349/2023 Sb., kterým se mění některé zákony v souvislosti s konsolidací veřejných rozpočtů. Ten by měl zajistit citelné zlepšení hospodaření veřejných financí. Deficit v roce 2024 by měl dosáhnout hodnoty 2,5 % HDP. Vládní konsolidační balíček upravuje jak stranu příjmů, </w:t>
      </w:r>
      <w:r w:rsidRPr="00465339">
        <w:t>tak výdajů, avšak vyhýbá se konsenzuálně nejškodlivějšímu opatření během konsolidací, což jsou škrty v investicích. Největší dopad balíčku je sice v letošním roce, nicméně některá opatření nabíhají postupně a ovlivní tak hospodaření i v roce 2025 a letech výhledu.</w:t>
      </w:r>
    </w:p>
    <w:p w:rsidR="00465339" w:rsidRPr="00465339" w:rsidRDefault="00465339" w:rsidP="00465339">
      <w:r w:rsidRPr="00465339">
        <w:t xml:space="preserve">Kromě samotných konsolidačních opatření obsahuje balíček rovněž změnu zákona o pravidlech rozpočtové odpovědnosti. Došlo k rychlejšímu poklesu předepsaného strukturálního deficitu použitého k odvození výdajových rámců pro rok 2024 o 1,45 procentního bodu na -2,75 % HDP. V letech 2025 až 2028 se pak deficit pro tyto účely snižuje o 0,5 procentního bodu ročně, než bude dosažena hodnota maximálně 1 % HDP v roce 2028. Tato trajektorie by měla být plně dostačující k dosažení cílů podle reformovaného fiskálního rámce Evropské unie. Nastavení fiskální politiky tak bude restriktivní. </w:t>
      </w:r>
    </w:p>
    <w:p w:rsidR="00465339" w:rsidRPr="00465339" w:rsidRDefault="00465339" w:rsidP="00465339">
      <w:r w:rsidRPr="00465339">
        <w:t>Strukturální deficit v predikci odhadujeme pro rok 2024 na 2,1 % HDP, v příštím roce by měl mírně klesnout na 2,0 % HDP. Strukturální saldo je kompatibilní s odvozenými výdajovými rámci.</w:t>
      </w:r>
    </w:p>
    <w:p w:rsidR="00DE774F" w:rsidRPr="002A23FD" w:rsidRDefault="00DE774F" w:rsidP="00DE774F">
      <w:pPr>
        <w:rPr>
          <w:highlight w:val="cyan"/>
        </w:rPr>
        <w:sectPr w:rsidR="00DE774F" w:rsidRPr="002A23FD" w:rsidSect="002B08F4">
          <w:headerReference w:type="default" r:id="rId33"/>
          <w:footerReference w:type="even" r:id="rId34"/>
          <w:type w:val="continuous"/>
          <w:pgSz w:w="11906" w:h="16838" w:code="9"/>
          <w:pgMar w:top="1134" w:right="1134" w:bottom="1418" w:left="1134" w:header="709" w:footer="709" w:gutter="0"/>
          <w:cols w:num="2" w:space="708"/>
          <w:docGrid w:linePitch="360"/>
        </w:sectPr>
      </w:pPr>
    </w:p>
    <w:p w:rsidR="00DE774F" w:rsidRPr="002A23FD" w:rsidRDefault="00DE774F" w:rsidP="00A15052">
      <w:pPr>
        <w:rPr>
          <w:highlight w:val="cyan"/>
        </w:rPr>
      </w:pPr>
    </w:p>
    <w:p w:rsidR="00DE774F" w:rsidRPr="002A23FD" w:rsidRDefault="00DE774F" w:rsidP="00DE774F">
      <w:pPr>
        <w:rPr>
          <w:highlight w:val="cyan"/>
        </w:rPr>
        <w:sectPr w:rsidR="00DE774F" w:rsidRPr="002A23FD" w:rsidSect="00586243">
          <w:headerReference w:type="even" r:id="rId35"/>
          <w:footerReference w:type="even" r:id="rId36"/>
          <w:type w:val="continuous"/>
          <w:pgSz w:w="11906" w:h="16838" w:code="9"/>
          <w:pgMar w:top="1134" w:right="1134" w:bottom="1418" w:left="1134" w:header="709" w:footer="709" w:gutter="0"/>
          <w:cols w:num="2" w:space="397"/>
          <w:docGrid w:linePitch="360"/>
        </w:sectPr>
      </w:pPr>
    </w:p>
    <w:p w:rsidR="00A55CCA" w:rsidRPr="00AF1AE2" w:rsidRDefault="00A55CCA" w:rsidP="00A55CCA">
      <w:pPr>
        <w:pStyle w:val="SRtitulek1"/>
      </w:pPr>
      <w:bookmarkStart w:id="33" w:name="_Toc175914443"/>
      <w:r w:rsidRPr="00AF1AE2">
        <w:t xml:space="preserve">Tabulka </w:t>
      </w:r>
      <w:fldSimple w:instr=" SEQ Tabulka \* ARABIC ">
        <w:r w:rsidR="001773BF">
          <w:rPr>
            <w:noProof/>
          </w:rPr>
          <w:t>3</w:t>
        </w:r>
      </w:fldSimple>
      <w:r w:rsidRPr="00AF1AE2">
        <w:t xml:space="preserve"> Saldo a dluh sektoru vládních institucí</w:t>
      </w:r>
      <w:bookmarkEnd w:id="33"/>
    </w:p>
    <w:p w:rsidR="00A15052" w:rsidRPr="000620C3" w:rsidRDefault="00AF1AE2" w:rsidP="00DE774F">
      <w:pPr>
        <w:spacing w:after="0"/>
        <w:rPr>
          <w:noProof/>
        </w:rPr>
      </w:pPr>
      <w:r w:rsidRPr="000620C3">
        <w:rPr>
          <w:noProof/>
          <w:lang w:val="en-US" w:eastAsia="en-US"/>
        </w:rPr>
        <w:drawing>
          <wp:inline distT="0" distB="0" distL="0" distR="0">
            <wp:extent cx="6120130" cy="779271"/>
            <wp:effectExtent l="0" t="0" r="0" b="1905"/>
            <wp:docPr id="65" name="Obrázek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120130" cy="779271"/>
                    </a:xfrm>
                    <a:prstGeom prst="rect">
                      <a:avLst/>
                    </a:prstGeom>
                    <a:noFill/>
                    <a:ln>
                      <a:noFill/>
                    </a:ln>
                  </pic:spPr>
                </pic:pic>
              </a:graphicData>
            </a:graphic>
          </wp:inline>
        </w:drawing>
      </w:r>
    </w:p>
    <w:p w:rsidR="00634B4A" w:rsidRPr="000620C3" w:rsidRDefault="00AF1AE2" w:rsidP="00DE774F">
      <w:pPr>
        <w:spacing w:after="0"/>
        <w:rPr>
          <w:i/>
          <w:sz w:val="16"/>
          <w:szCs w:val="16"/>
        </w:rPr>
      </w:pPr>
      <w:r w:rsidRPr="000620C3">
        <w:rPr>
          <w:i/>
          <w:sz w:val="16"/>
          <w:szCs w:val="16"/>
        </w:rPr>
        <w:t>Pozn.: Saldo za rok 2023 bylo oproti notifikacím ČSÚ z dubna 2024 zhoršeno o 23,2 mld. Kč v důsledku známých skutečností ohledně výnosu daně z</w:t>
      </w:r>
      <w:r w:rsidR="000620C3">
        <w:rPr>
          <w:i/>
          <w:sz w:val="16"/>
          <w:szCs w:val="16"/>
        </w:rPr>
        <w:t> </w:t>
      </w:r>
      <w:r w:rsidRPr="000620C3">
        <w:rPr>
          <w:i/>
          <w:sz w:val="16"/>
          <w:szCs w:val="16"/>
        </w:rPr>
        <w:t>příjmů právnických osob a odvodu z nadměrných příjmů. Poměrové ukazatele rovněž ovlivnila mimořádná revize dat z národních účtů.</w:t>
      </w:r>
    </w:p>
    <w:p w:rsidR="00DE774F" w:rsidRPr="000620C3" w:rsidRDefault="00DE774F" w:rsidP="00DE774F">
      <w:pPr>
        <w:spacing w:after="0"/>
      </w:pPr>
      <w:r w:rsidRPr="000620C3">
        <w:rPr>
          <w:i/>
          <w:sz w:val="16"/>
          <w:szCs w:val="16"/>
        </w:rPr>
        <w:t>Zdroj: ČSÚ. Výpočty a predikce MF ČR</w:t>
      </w:r>
      <w:r w:rsidR="00982A28" w:rsidRPr="000620C3">
        <w:rPr>
          <w:i/>
          <w:sz w:val="16"/>
          <w:szCs w:val="16"/>
        </w:rPr>
        <w:t>.</w:t>
      </w:r>
    </w:p>
    <w:p w:rsidR="00DE774F" w:rsidRPr="000620C3" w:rsidRDefault="00272C14" w:rsidP="00A15052">
      <w:pPr>
        <w:pStyle w:val="Nadpis2"/>
      </w:pPr>
      <w:r w:rsidRPr="000620C3">
        <w:t xml:space="preserve"> </w:t>
      </w:r>
      <w:bookmarkStart w:id="34" w:name="_Toc175914412"/>
      <w:r w:rsidR="00DE774F" w:rsidRPr="000620C3">
        <w:t>Očekávané hospodaření sektoru vládních institucí v roce 202</w:t>
      </w:r>
      <w:r w:rsidR="00BE28B2" w:rsidRPr="000620C3">
        <w:t>4</w:t>
      </w:r>
      <w:bookmarkEnd w:id="34"/>
    </w:p>
    <w:p w:rsidR="00DE774F" w:rsidRPr="000620C3" w:rsidRDefault="00DE774F" w:rsidP="00DE774F">
      <w:pPr>
        <w:sectPr w:rsidR="00DE774F" w:rsidRPr="000620C3" w:rsidSect="00A01FB3">
          <w:type w:val="continuous"/>
          <w:pgSz w:w="11906" w:h="16838" w:code="9"/>
          <w:pgMar w:top="1134" w:right="1134" w:bottom="1418" w:left="1134" w:header="709" w:footer="709" w:gutter="0"/>
          <w:cols w:space="397"/>
          <w:docGrid w:linePitch="360"/>
        </w:sectPr>
      </w:pPr>
    </w:p>
    <w:p w:rsidR="00465339" w:rsidRPr="00465339" w:rsidRDefault="00465339" w:rsidP="00465339">
      <w:pPr>
        <w:rPr>
          <w:rFonts w:cs="Calibri"/>
          <w:kern w:val="20"/>
        </w:rPr>
      </w:pPr>
      <w:r w:rsidRPr="00465339">
        <w:rPr>
          <w:rFonts w:eastAsia="Calibri" w:cs="Calibri"/>
          <w:kern w:val="20"/>
        </w:rPr>
        <w:t xml:space="preserve">Konsolidační balíček, který připravila vláda, se odráží v očekávání výsledku hospodaření veřejných financí </w:t>
      </w:r>
      <w:r w:rsidRPr="00465339">
        <w:rPr>
          <w:rFonts w:eastAsia="Calibri" w:cs="Calibri"/>
          <w:b/>
          <w:bCs/>
          <w:kern w:val="20"/>
        </w:rPr>
        <w:t>v roce 2024</w:t>
      </w:r>
      <w:r w:rsidRPr="00465339">
        <w:rPr>
          <w:rFonts w:eastAsia="Calibri" w:cs="Calibri"/>
          <w:bCs/>
          <w:kern w:val="20"/>
        </w:rPr>
        <w:t>. Ten současně nese náklady předchozích silných valorizací důchodů, plnění závazku vůči NATO ve výdajích na obranu a další. Letos očekáváme meziroční snížení deficitu o 1,3 p. b. na 2,5 % HDP</w:t>
      </w:r>
      <w:r w:rsidRPr="00465339">
        <w:rPr>
          <w:rFonts w:eastAsia="Calibri" w:cs="Calibri"/>
          <w:kern w:val="20"/>
        </w:rPr>
        <w:t>, ve strukturálním vyjádření by se měl schodek snížit o 0,5 p. b. na 2,1 % HDP</w:t>
      </w:r>
      <w:r w:rsidRPr="00465339">
        <w:rPr>
          <w:rFonts w:cs="Calibri"/>
          <w:kern w:val="20"/>
        </w:rPr>
        <w:t xml:space="preserve">. Deficitní hospodaření půjde především na vrub státního rozpočtu, s mírným schodkem budou patrně hospodařit i zdravotní pojišťovny. Naproti tomu místní vládní instituce by měly opět vykázat kladné saldo. </w:t>
      </w:r>
    </w:p>
    <w:p w:rsidR="00465339" w:rsidRPr="00465339" w:rsidRDefault="00465339" w:rsidP="00465339">
      <w:pPr>
        <w:rPr>
          <w:rFonts w:cs="Calibri"/>
          <w:kern w:val="20"/>
        </w:rPr>
      </w:pPr>
      <w:r w:rsidRPr="00465339">
        <w:rPr>
          <w:rFonts w:cs="Calibri"/>
          <w:b/>
          <w:kern w:val="20"/>
        </w:rPr>
        <w:t>Celkové příjmy sektoru vládních institucí</w:t>
      </w:r>
      <w:r w:rsidRPr="00465339">
        <w:rPr>
          <w:rFonts w:cs="Calibri"/>
          <w:kern w:val="20"/>
        </w:rPr>
        <w:t xml:space="preserve"> by dle predikce měly vzrůst o 6,2 %, přičemž daňové příjmy včetně příspěvků na sociální zabezpečení o 7,7 %. Ve výnosu </w:t>
      </w:r>
      <w:r w:rsidRPr="00465339">
        <w:rPr>
          <w:rFonts w:cs="Calibri"/>
          <w:b/>
          <w:kern w:val="20"/>
        </w:rPr>
        <w:t>daně z přidané hodnoty</w:t>
      </w:r>
      <w:r w:rsidRPr="00465339">
        <w:rPr>
          <w:rFonts w:cs="Calibri"/>
          <w:kern w:val="20"/>
        </w:rPr>
        <w:t xml:space="preserve"> s odhadovanou 2,8% dynamikou se negativně projeví sjednocení snížených sazeb daně na 12 % a současně přesuny některých zboží a služeb mezi sazbami. Na druhou stranu tyto změny zmírní dodatečný výnos z navýšení </w:t>
      </w:r>
      <w:r w:rsidRPr="00465339">
        <w:rPr>
          <w:rFonts w:cs="Calibri"/>
          <w:b/>
          <w:kern w:val="20"/>
        </w:rPr>
        <w:t>spotřebních daní</w:t>
      </w:r>
      <w:r w:rsidRPr="00465339">
        <w:rPr>
          <w:rFonts w:cs="Calibri"/>
          <w:kern w:val="20"/>
        </w:rPr>
        <w:t>. Jejich m</w:t>
      </w:r>
      <w:r w:rsidRPr="00465339">
        <w:rPr>
          <w:rFonts w:eastAsia="Calibri" w:cs="Calibri"/>
          <w:kern w:val="20"/>
        </w:rPr>
        <w:t xml:space="preserve">eziroční dynamiku pozitivně ovlivní bazický efekt do konce července 2023 snížené sazby daně na motorovou naftu </w:t>
      </w:r>
      <w:r w:rsidRPr="00465339">
        <w:rPr>
          <w:rFonts w:cs="Calibri"/>
          <w:kern w:val="20"/>
        </w:rPr>
        <w:t>(5,6 mld. Kč</w:t>
      </w:r>
      <w:r w:rsidRPr="00465339">
        <w:rPr>
          <w:rFonts w:eastAsia="Calibri" w:cs="Calibri"/>
          <w:kern w:val="20"/>
        </w:rPr>
        <w:t xml:space="preserve">) a zvýšení sazeb daně z tabákových výrobků a lihu </w:t>
      </w:r>
      <w:r w:rsidRPr="00465339">
        <w:rPr>
          <w:rFonts w:cs="Calibri"/>
          <w:kern w:val="20"/>
        </w:rPr>
        <w:t>(4 mld. Kč)</w:t>
      </w:r>
      <w:r w:rsidRPr="00465339">
        <w:rPr>
          <w:rFonts w:eastAsia="Calibri" w:cs="Calibri"/>
          <w:kern w:val="20"/>
        </w:rPr>
        <w:t xml:space="preserve">. Daňové příjmy tlumí konec účinnosti mimořádného opatření v období energetické krize v podobě odvodu z nadměrných příjmů výrobců elektřiny. </w:t>
      </w:r>
      <w:r w:rsidRPr="00465339">
        <w:rPr>
          <w:rFonts w:eastAsia="Calibri" w:cs="Calibri"/>
          <w:kern w:val="20"/>
        </w:rPr>
        <w:lastRenderedPageBreak/>
        <w:t xml:space="preserve">Tento efekt je však kompenzován ukončením plošného odpuštění poplatku za obnovitelné zdroje energie u domácností a firem ke konci roku 2023, přičemž letos se týká pouze energeticky náročných podniků, pro které vláda vyčlenila částku 3,5 mld. Kč. Zvýšení </w:t>
      </w:r>
      <w:r w:rsidRPr="00465339">
        <w:rPr>
          <w:rFonts w:eastAsia="Calibri" w:cs="Calibri"/>
          <w:b/>
          <w:kern w:val="20"/>
        </w:rPr>
        <w:t>daně z nemovitých věcí</w:t>
      </w:r>
      <w:r w:rsidRPr="00465339">
        <w:rPr>
          <w:rFonts w:eastAsia="Calibri" w:cs="Calibri"/>
          <w:kern w:val="20"/>
        </w:rPr>
        <w:t xml:space="preserve"> by mělo přinést do veřejných rozpočtů odhadem 10 mld. Kč.</w:t>
      </w:r>
    </w:p>
    <w:p w:rsidR="00465339" w:rsidRPr="00465339" w:rsidRDefault="00465339" w:rsidP="00465339">
      <w:pPr>
        <w:rPr>
          <w:rFonts w:cs="Calibri"/>
          <w:kern w:val="20"/>
        </w:rPr>
      </w:pPr>
      <w:r w:rsidRPr="00465339">
        <w:rPr>
          <w:rFonts w:eastAsia="Calibri" w:cs="Calibri"/>
          <w:kern w:val="20"/>
        </w:rPr>
        <w:t xml:space="preserve">Očekávaný růst objemu mezd a platů v ekonomice determinuje </w:t>
      </w:r>
      <w:r w:rsidRPr="00465339">
        <w:rPr>
          <w:rFonts w:eastAsia="Calibri" w:cs="Calibri"/>
          <w:b/>
          <w:kern w:val="20"/>
        </w:rPr>
        <w:t>daň z příjmů fyzických osob</w:t>
      </w:r>
      <w:r w:rsidRPr="00465339">
        <w:rPr>
          <w:rFonts w:eastAsia="Calibri" w:cs="Calibri"/>
          <w:kern w:val="20"/>
        </w:rPr>
        <w:t xml:space="preserve"> (11,3 %) i </w:t>
      </w:r>
      <w:r w:rsidRPr="00465339">
        <w:rPr>
          <w:rFonts w:eastAsia="Calibri" w:cs="Calibri"/>
          <w:b/>
          <w:kern w:val="20"/>
        </w:rPr>
        <w:t xml:space="preserve">příspěvky na sociální zabezpečení </w:t>
      </w:r>
      <w:r w:rsidRPr="00465339">
        <w:rPr>
          <w:rFonts w:eastAsia="Calibri" w:cs="Calibri"/>
          <w:kern w:val="20"/>
        </w:rPr>
        <w:t xml:space="preserve">(8,9 %), v nichž se navíc odráží i nárůst platby za státní pojištěnce. Oba tituly budou </w:t>
      </w:r>
      <w:r w:rsidRPr="00465339">
        <w:rPr>
          <w:rFonts w:eastAsia="Calibri" w:cs="Calibri"/>
          <w:spacing w:val="-1"/>
          <w:kern w:val="20"/>
        </w:rPr>
        <w:t>pozitivně ovlivněny rovněž diskrečními opatřeními v</w:t>
      </w:r>
      <w:r w:rsidRPr="00465339">
        <w:rPr>
          <w:rFonts w:eastAsia="Calibri" w:cs="Calibri"/>
          <w:kern w:val="20"/>
        </w:rPr>
        <w:t xml:space="preserve"> rámci konsolidačního balíčku. V případě </w:t>
      </w:r>
      <w:r w:rsidRPr="00465339">
        <w:rPr>
          <w:rFonts w:eastAsia="Calibri" w:cs="Calibri"/>
          <w:b/>
          <w:kern w:val="20"/>
        </w:rPr>
        <w:t>daně z příjmů právnických osob</w:t>
      </w:r>
      <w:r w:rsidRPr="00465339">
        <w:rPr>
          <w:rFonts w:eastAsia="Calibri" w:cs="Calibri"/>
          <w:kern w:val="20"/>
        </w:rPr>
        <w:t xml:space="preserve"> působí zejména dva protichůdné faktory. Na jedné straně očekáváme meziroční snížení výnosu daně z neočekávaných zisků, na druhé straně se pak projeví zvýšení sazby daně o 2 p. b. s odhadovaným dopadem kolem 21 mld. Kč.</w:t>
      </w:r>
    </w:p>
    <w:p w:rsidR="00465339" w:rsidRPr="00465339" w:rsidRDefault="00465339" w:rsidP="00465339">
      <w:pPr>
        <w:rPr>
          <w:rFonts w:cs="Calibri"/>
          <w:kern w:val="20"/>
        </w:rPr>
      </w:pPr>
      <w:r w:rsidRPr="00465339">
        <w:rPr>
          <w:rFonts w:cs="Calibri"/>
          <w:kern w:val="20"/>
        </w:rPr>
        <w:t xml:space="preserve">Z ostatních příjmů předpokládáme výrazně nižší </w:t>
      </w:r>
      <w:r w:rsidRPr="00465339">
        <w:rPr>
          <w:rFonts w:cs="Calibri"/>
          <w:b/>
          <w:kern w:val="20"/>
        </w:rPr>
        <w:t>příjmy z dividend</w:t>
      </w:r>
      <w:r w:rsidRPr="00465339">
        <w:rPr>
          <w:rFonts w:cs="Calibri"/>
          <w:kern w:val="20"/>
        </w:rPr>
        <w:t xml:space="preserve"> od státem vlastněných společností, stejně jako úroky z poskytnutých půjček v rámci řízení likvidity státní pokladny.</w:t>
      </w:r>
    </w:p>
    <w:p w:rsidR="00465339" w:rsidRPr="00465339" w:rsidRDefault="00465339" w:rsidP="00465339">
      <w:pPr>
        <w:rPr>
          <w:rFonts w:eastAsia="Calibri" w:cs="Calibri"/>
          <w:kern w:val="20"/>
        </w:rPr>
      </w:pPr>
      <w:r w:rsidRPr="00465339">
        <w:rPr>
          <w:rFonts w:cs="Calibri"/>
          <w:b/>
          <w:kern w:val="20"/>
        </w:rPr>
        <w:t>Výdaje sektoru vládních institucí</w:t>
      </w:r>
      <w:r w:rsidRPr="00465339">
        <w:rPr>
          <w:rFonts w:cs="Calibri"/>
          <w:kern w:val="20"/>
        </w:rPr>
        <w:t xml:space="preserve"> jsou brzděny přijatým konsolidačním balíčkem. Odhadujeme, že tempo </w:t>
      </w:r>
      <w:r w:rsidRPr="00465339">
        <w:rPr>
          <w:rFonts w:cs="Calibri"/>
          <w:b/>
          <w:kern w:val="20"/>
        </w:rPr>
        <w:t>výdajů na konečnou spotřebu</w:t>
      </w:r>
      <w:r w:rsidRPr="00465339">
        <w:rPr>
          <w:rFonts w:cs="Calibri"/>
          <w:kern w:val="20"/>
        </w:rPr>
        <w:t xml:space="preserve"> meziročně zpomalí na 5,7 %. Po téměř 10% růstu </w:t>
      </w:r>
      <w:r w:rsidRPr="00465339">
        <w:rPr>
          <w:rFonts w:cs="Calibri"/>
          <w:b/>
          <w:kern w:val="20"/>
        </w:rPr>
        <w:t>mezispotřeby</w:t>
      </w:r>
      <w:r w:rsidRPr="00465339">
        <w:rPr>
          <w:rFonts w:cs="Calibri"/>
          <w:kern w:val="20"/>
        </w:rPr>
        <w:t xml:space="preserve"> v loňském roce by její dynamika měla i vlivem úspor na provozních výdajích každého rezortu o 5 % podstatně zvolnit na 5,5 %. Podobné zpomalení očekáváme také u </w:t>
      </w:r>
      <w:r w:rsidRPr="00465339">
        <w:rPr>
          <w:rFonts w:eastAsia="Calibri" w:cs="Calibri"/>
          <w:b/>
          <w:kern w:val="20"/>
        </w:rPr>
        <w:t>náhrad zaměstnancům</w:t>
      </w:r>
      <w:r w:rsidRPr="00465339">
        <w:rPr>
          <w:rFonts w:eastAsia="Calibri" w:cs="Calibri"/>
          <w:kern w:val="20"/>
        </w:rPr>
        <w:t xml:space="preserve"> sektoru vládních institucí, které patrně dosáhnou výrazně nižší dynamiky než v loňském roce, zejména s přihlédnutím ke schváleným opatřením konsolidačního balíčku. </w:t>
      </w:r>
      <w:r w:rsidRPr="00465339">
        <w:rPr>
          <w:rFonts w:eastAsia="Calibri" w:cs="Calibri"/>
          <w:kern w:val="20"/>
        </w:rPr>
        <w:t xml:space="preserve">Růst objemu prostředků na platy determinují oblasti zdravotnictví a školství. Stále vysoké dvouciferné tempo si i podle údajů národních účtů za 1. čtvrtletí tohoto roku pravděpodobně udrží </w:t>
      </w:r>
      <w:r w:rsidRPr="00465339">
        <w:rPr>
          <w:rFonts w:cs="Calibri"/>
          <w:b/>
          <w:kern w:val="20"/>
        </w:rPr>
        <w:t>naturální sociální transfery</w:t>
      </w:r>
      <w:r w:rsidRPr="00465339">
        <w:rPr>
          <w:rFonts w:cs="Calibri"/>
          <w:kern w:val="20"/>
        </w:rPr>
        <w:t>, s odhadovaným celoročním růstem kolem 11 %. Za ním stojí přetrvávající vyšší úroveň</w:t>
      </w:r>
      <w:r w:rsidRPr="00465339">
        <w:rPr>
          <w:rFonts w:eastAsia="Calibri" w:cs="Calibri"/>
          <w:kern w:val="20"/>
        </w:rPr>
        <w:t xml:space="preserve"> dávek na bydlení, nárůst by však měl být tažen především výdaji zdravotních pojišťoven umožněnými nárůstem pojistného, plateb za státní pojištěnce i předpokládaným mírným prohloubením schodku fondů sociálního zabezpečení. </w:t>
      </w:r>
    </w:p>
    <w:p w:rsidR="00465339" w:rsidRPr="00465339" w:rsidRDefault="00465339" w:rsidP="00465339">
      <w:pPr>
        <w:rPr>
          <w:rFonts w:eastAsia="Calibri" w:cs="Calibri"/>
          <w:kern w:val="20"/>
        </w:rPr>
      </w:pPr>
      <w:r w:rsidRPr="00465339">
        <w:rPr>
          <w:rFonts w:eastAsia="Calibri" w:cs="Calibri"/>
          <w:kern w:val="20"/>
        </w:rPr>
        <w:t xml:space="preserve">V oblasti </w:t>
      </w:r>
      <w:r w:rsidRPr="00465339">
        <w:rPr>
          <w:rFonts w:eastAsia="Calibri" w:cs="Calibri"/>
          <w:b/>
          <w:kern w:val="20"/>
        </w:rPr>
        <w:t>peněžitých sociálních dávek</w:t>
      </w:r>
      <w:r w:rsidRPr="00465339">
        <w:rPr>
          <w:rFonts w:eastAsia="Calibri" w:cs="Calibri"/>
          <w:kern w:val="20"/>
        </w:rPr>
        <w:t xml:space="preserve"> kalkulujeme s navýšením výdajů na výplatu dávek důchodového pojištění. </w:t>
      </w:r>
      <w:r w:rsidRPr="00465339">
        <w:rPr>
          <w:rFonts w:eastAsia="Calibri" w:cs="Calibri"/>
          <w:spacing w:val="-1"/>
          <w:kern w:val="20"/>
        </w:rPr>
        <w:t>Kromě efektů valorizace důchodů ovlivní dynamiku i</w:t>
      </w:r>
      <w:r w:rsidRPr="00465339">
        <w:rPr>
          <w:rFonts w:eastAsia="Calibri" w:cs="Calibri"/>
          <w:kern w:val="20"/>
        </w:rPr>
        <w:t xml:space="preserve"> humanitární dávky vyplácené uprchlíkům z Ukrajiny, podpory v nezaměstnanosti, dávky nemocenského pojištění či růst platby za státního pojištěnce. To vše by v souhrnu mělo vést k nárůstu sociálních dávek o 5,5 %.</w:t>
      </w:r>
    </w:p>
    <w:p w:rsidR="00465339" w:rsidRPr="00465339" w:rsidRDefault="00465339" w:rsidP="00465339">
      <w:pPr>
        <w:rPr>
          <w:rFonts w:eastAsia="Calibri" w:cs="Calibri"/>
          <w:kern w:val="20"/>
        </w:rPr>
      </w:pPr>
      <w:r w:rsidRPr="00465339">
        <w:rPr>
          <w:rFonts w:eastAsia="Calibri" w:cs="Calibri"/>
          <w:b/>
          <w:kern w:val="20"/>
        </w:rPr>
        <w:t>Investice do fixních aktiv</w:t>
      </w:r>
      <w:r w:rsidRPr="00465339">
        <w:rPr>
          <w:rFonts w:eastAsia="Calibri" w:cs="Calibri"/>
          <w:kern w:val="20"/>
        </w:rPr>
        <w:t xml:space="preserve"> budou ovlivněny zvýšenými výdaji v oblasti dopravní infrastruktury a obrany, kde by již v letošním roce mělo být dosaženo hranice 2 % HDP. V případě výdajů spolufinancovaných z EU bude hrát roli postupný náběh prostředků v rámci nástroje EU příští generace nebo rozbíhající se finanční perspektiva</w:t>
      </w:r>
      <w:r w:rsidR="00740427" w:rsidRPr="000620C3">
        <w:rPr>
          <w:rFonts w:eastAsia="Calibri" w:cs="Calibri"/>
          <w:kern w:val="20"/>
        </w:rPr>
        <w:t xml:space="preserve"> </w:t>
      </w:r>
      <w:r w:rsidRPr="00465339">
        <w:rPr>
          <w:rFonts w:eastAsia="Calibri" w:cs="Calibri"/>
          <w:kern w:val="20"/>
        </w:rPr>
        <w:t>2021–2027. Dynamika celkových investic by měla dosáhnout 1,8 %.</w:t>
      </w:r>
    </w:p>
    <w:p w:rsidR="00465339" w:rsidRPr="00465339" w:rsidRDefault="00465339" w:rsidP="00465339">
      <w:pPr>
        <w:rPr>
          <w:rFonts w:eastAsia="Calibri" w:cs="Calibri"/>
          <w:kern w:val="20"/>
        </w:rPr>
      </w:pPr>
      <w:r w:rsidRPr="00465339">
        <w:rPr>
          <w:rFonts w:eastAsia="Calibri" w:cs="Calibri"/>
          <w:kern w:val="20"/>
        </w:rPr>
        <w:t xml:space="preserve">Opatření konsolidačního balíčku spolu s koncem dočasných titulů schválených v reakci na energetickou krizi </w:t>
      </w:r>
      <w:r w:rsidRPr="00465339">
        <w:rPr>
          <w:rFonts w:eastAsia="Calibri" w:cs="Calibri"/>
          <w:spacing w:val="-1"/>
          <w:kern w:val="20"/>
        </w:rPr>
        <w:t>budou představovat meziroční úsporu v </w:t>
      </w:r>
      <w:r w:rsidRPr="00465339">
        <w:rPr>
          <w:rFonts w:eastAsia="Calibri" w:cs="Calibri"/>
          <w:b/>
          <w:spacing w:val="-1"/>
          <w:kern w:val="20"/>
        </w:rPr>
        <w:t>dotacích</w:t>
      </w:r>
      <w:r w:rsidRPr="00465339">
        <w:rPr>
          <w:rFonts w:eastAsia="Calibri" w:cs="Calibri"/>
          <w:spacing w:val="-1"/>
          <w:kern w:val="20"/>
        </w:rPr>
        <w:t xml:space="preserve"> a</w:t>
      </w:r>
      <w:r w:rsidRPr="00465339">
        <w:rPr>
          <w:rFonts w:eastAsia="Calibri" w:cs="Calibri"/>
          <w:kern w:val="20"/>
        </w:rPr>
        <w:t xml:space="preserve"> částečně </w:t>
      </w:r>
      <w:r w:rsidRPr="00465339">
        <w:rPr>
          <w:rFonts w:eastAsia="Calibri" w:cs="Calibri"/>
          <w:b/>
          <w:kern w:val="20"/>
        </w:rPr>
        <w:t>běžných transferech</w:t>
      </w:r>
      <w:r w:rsidRPr="00465339">
        <w:rPr>
          <w:rFonts w:eastAsia="Calibri" w:cs="Calibri"/>
          <w:kern w:val="20"/>
        </w:rPr>
        <w:t xml:space="preserve"> v řádu desítek miliard korun.</w:t>
      </w:r>
    </w:p>
    <w:p w:rsidR="00465339" w:rsidRPr="00465339" w:rsidRDefault="00465339" w:rsidP="00465339">
      <w:pPr>
        <w:rPr>
          <w:kern w:val="20"/>
          <w:szCs w:val="24"/>
        </w:rPr>
      </w:pPr>
      <w:r w:rsidRPr="00465339">
        <w:rPr>
          <w:rFonts w:eastAsia="Calibri" w:cs="Calibri"/>
          <w:b/>
          <w:bCs/>
          <w:kern w:val="20"/>
          <w:szCs w:val="24"/>
        </w:rPr>
        <w:t>Dluh</w:t>
      </w:r>
      <w:r w:rsidRPr="00465339">
        <w:rPr>
          <w:rFonts w:eastAsia="Calibri" w:cs="Calibri"/>
          <w:b/>
          <w:kern w:val="20"/>
          <w:szCs w:val="24"/>
        </w:rPr>
        <w:t xml:space="preserve"> sektoru vládních institucí</w:t>
      </w:r>
      <w:r w:rsidRPr="00465339">
        <w:rPr>
          <w:rFonts w:eastAsia="Calibri" w:cs="Calibri"/>
          <w:kern w:val="20"/>
          <w:szCs w:val="24"/>
        </w:rPr>
        <w:t xml:space="preserve"> by měl v roce 2024 v poměrovém vyjádření vzrůst na 43,7 % HDP.</w:t>
      </w:r>
      <w:r w:rsidRPr="00465339">
        <w:rPr>
          <w:rFonts w:eastAsia="Calibri" w:cs="Calibri"/>
          <w:b/>
          <w:bCs/>
          <w:kern w:val="20"/>
          <w:szCs w:val="24"/>
        </w:rPr>
        <w:t xml:space="preserve"> </w:t>
      </w:r>
      <w:r w:rsidRPr="00465339">
        <w:rPr>
          <w:rFonts w:eastAsia="Calibri" w:cs="Calibri"/>
          <w:kern w:val="20"/>
          <w:szCs w:val="24"/>
        </w:rPr>
        <w:t xml:space="preserve">To patrně povede k dalšímu růstu </w:t>
      </w:r>
      <w:r w:rsidRPr="00465339">
        <w:rPr>
          <w:rFonts w:eastAsia="Calibri" w:cs="Calibri"/>
          <w:b/>
          <w:bCs/>
          <w:kern w:val="20"/>
          <w:szCs w:val="24"/>
        </w:rPr>
        <w:t xml:space="preserve">úrokových výdajů </w:t>
      </w:r>
      <w:r w:rsidRPr="00465339">
        <w:rPr>
          <w:rFonts w:eastAsia="Calibri" w:cs="Calibri"/>
          <w:bCs/>
          <w:kern w:val="20"/>
          <w:szCs w:val="24"/>
        </w:rPr>
        <w:t>na úroveň 1,4 % HDP.</w:t>
      </w:r>
    </w:p>
    <w:p w:rsidR="00DE774F" w:rsidRPr="000620C3" w:rsidRDefault="00DE774F" w:rsidP="00DE774F">
      <w:pPr>
        <w:sectPr w:rsidR="00DE774F" w:rsidRPr="000620C3" w:rsidSect="00586243">
          <w:type w:val="continuous"/>
          <w:pgSz w:w="11906" w:h="16838" w:code="9"/>
          <w:pgMar w:top="1134" w:right="1134" w:bottom="1418" w:left="1134" w:header="709" w:footer="709" w:gutter="0"/>
          <w:cols w:num="2" w:space="397"/>
          <w:docGrid w:linePitch="360"/>
        </w:sectPr>
      </w:pPr>
    </w:p>
    <w:p w:rsidR="00DE774F" w:rsidRPr="000620C3" w:rsidRDefault="00DE774F" w:rsidP="00A15052">
      <w:pPr>
        <w:pStyle w:val="Nadpis2"/>
      </w:pPr>
      <w:bookmarkStart w:id="35" w:name="_Toc175914413"/>
      <w:r w:rsidRPr="000620C3">
        <w:t>Predikce hospodaření sektoru vládních institucí v roce 202</w:t>
      </w:r>
      <w:r w:rsidR="00465339" w:rsidRPr="000620C3">
        <w:t>5</w:t>
      </w:r>
      <w:bookmarkEnd w:id="35"/>
    </w:p>
    <w:p w:rsidR="00DE774F" w:rsidRPr="000620C3" w:rsidRDefault="00DE774F" w:rsidP="00DE774F">
      <w:pPr>
        <w:sectPr w:rsidR="00DE774F" w:rsidRPr="000620C3" w:rsidSect="00A01FB3">
          <w:type w:val="continuous"/>
          <w:pgSz w:w="11906" w:h="16838" w:code="9"/>
          <w:pgMar w:top="1134" w:right="1134" w:bottom="1418" w:left="1134" w:header="709" w:footer="709" w:gutter="0"/>
          <w:cols w:space="397"/>
          <w:docGrid w:linePitch="360"/>
        </w:sectPr>
      </w:pPr>
    </w:p>
    <w:p w:rsidR="00465339" w:rsidRPr="00465339" w:rsidRDefault="00465339" w:rsidP="00465339">
      <w:r w:rsidRPr="00465339">
        <w:t xml:space="preserve">V roce 2025 očekáváme, že saldo veřejných financí dosáhne -2,1 % HDP. Celkové příjmy sektoru vládních institucí by dle predikce měly vzrůst o 5,1 %, přičemž daňové příjmy včetně příspěvků na sociální zabezpečení o 5,3 %. </w:t>
      </w:r>
    </w:p>
    <w:p w:rsidR="00465339" w:rsidRPr="00465339" w:rsidRDefault="00465339" w:rsidP="00465339">
      <w:r w:rsidRPr="00465339">
        <w:t xml:space="preserve">Rostoucí reálné výdělky by měly povzbudit spotřebu domácností a pozitivně ovlivňovat i výnos </w:t>
      </w:r>
      <w:r w:rsidRPr="00465339">
        <w:rPr>
          <w:b/>
        </w:rPr>
        <w:t>daně z přidané hodnoty</w:t>
      </w:r>
      <w:r w:rsidRPr="00465339">
        <w:t xml:space="preserve">. Naopak dynamika bude brzděna úpravou definice dlužníka pro úpravy základu daně v případě nedobytných pohledávek. Vyšší daně na tabákové výrobky by se měly pozitivně projevit ve vyšším výnosu daně z přidané hodnoty (0,7 mld. Kč). Výsledný nárůst výnosu daně by přesto měl činit 6,3 %. </w:t>
      </w:r>
    </w:p>
    <w:p w:rsidR="00465339" w:rsidRPr="00465339" w:rsidRDefault="00465339" w:rsidP="00465339">
      <w:r w:rsidRPr="00465339">
        <w:t xml:space="preserve">U </w:t>
      </w:r>
      <w:r w:rsidRPr="00465339">
        <w:rPr>
          <w:b/>
        </w:rPr>
        <w:t>spotřebních daní</w:t>
      </w:r>
      <w:r w:rsidRPr="00465339">
        <w:t xml:space="preserve"> meziroční výnosy zvýší úpravy sazby daně z tabákových výrobků jako součást opatření ozdravného balíčku (dopad 2,3 mld. Kč). Dále zvýšení sazeb na daň z lihu přinese dodatečných 0,5 mld. Kč.</w:t>
      </w:r>
    </w:p>
    <w:p w:rsidR="00465339" w:rsidRPr="00465339" w:rsidRDefault="00465339" w:rsidP="00465339">
      <w:r w:rsidRPr="00465339">
        <w:t>Více než 6% růst objemu mezd a platů determinuje</w:t>
      </w:r>
      <w:r w:rsidRPr="00465339">
        <w:rPr>
          <w:b/>
        </w:rPr>
        <w:t xml:space="preserve"> daň z příjmů fyzických osob</w:t>
      </w:r>
      <w:r w:rsidRPr="00465339">
        <w:t xml:space="preserve"> (5,1 %) i </w:t>
      </w:r>
      <w:r w:rsidRPr="00465339">
        <w:rPr>
          <w:b/>
        </w:rPr>
        <w:t xml:space="preserve">příspěvky na sociální zabezpečení </w:t>
      </w:r>
      <w:r w:rsidRPr="00465339">
        <w:t xml:space="preserve">(6,2 %), v nichž se navíc odráží i nárůst platby </w:t>
      </w:r>
      <w:r w:rsidRPr="00465339">
        <w:t>za státní pojištěnce. U daně z příjmů fyzických osob je však dynamika brzděna meziročním vývojem daně z kapitálových výnosů a vyšší daňové zvýhodnění související s dlouhodobým investičním produktem. V oblasti příspěvků na sociální zabezpečení se konsolidačním balíčkem znovuzavedla sazba nemocenského pojištění pro zaměstnance a vyšší povinné odvody pro osoby samostatně výdělečně činné či pracovníky na dohodu o provedení práce, kde došlo nakonec k posunu v účinnosti na rok 2025. Celkový dopad opatření u příspěvků na sociální zabezpečení činí více než 5 mld. Kč. Naproti tomu podpora zkrácených úvazků a odpočty související s dlouhodobým investičním produktem oslabují výnos o necelou 1 mld. Kč.</w:t>
      </w:r>
    </w:p>
    <w:p w:rsidR="00465339" w:rsidRPr="00465339" w:rsidRDefault="00465339" w:rsidP="00465339">
      <w:r w:rsidRPr="00465339">
        <w:t xml:space="preserve">Výnos </w:t>
      </w:r>
      <w:r w:rsidRPr="00465339">
        <w:rPr>
          <w:b/>
        </w:rPr>
        <w:t>daně z příjmů právnických osob</w:t>
      </w:r>
      <w:r w:rsidRPr="00465339">
        <w:t xml:space="preserve"> by měl meziročně vykázat mírný růst, který je primárně ovlivněn očekávaným snížením výnosu u daně z neočekávaných zisků. Růst výnosu rovněž snižuje osvobození zdanění výnosů státních dluhopisů (1,3 mld. Kč). Naopak pozitivní efekt bude </w:t>
      </w:r>
      <w:r w:rsidRPr="00465339">
        <w:lastRenderedPageBreak/>
        <w:t xml:space="preserve">mít stále zvýšení sazby daně o 2 procentní body účinné od roku 2024 s dodatečným dopadem v příštím roce ve výši necelé 1 mld. Kč. </w:t>
      </w:r>
    </w:p>
    <w:p w:rsidR="00465339" w:rsidRPr="00465339" w:rsidRDefault="00465339" w:rsidP="00465339">
      <w:r w:rsidRPr="00465339">
        <w:t xml:space="preserve">Z ostatních příjmů, které výrazně ovlivní celkový růst příjmů, jde hlavně o </w:t>
      </w:r>
      <w:r w:rsidRPr="00465339">
        <w:rPr>
          <w:b/>
        </w:rPr>
        <w:t>investiční transfery</w:t>
      </w:r>
      <w:r w:rsidRPr="00465339">
        <w:t xml:space="preserve"> reflektující náběh projektů spolufinancovaných z rozpočtu EU z programového období 2021</w:t>
      </w:r>
      <w:r w:rsidRPr="00465339">
        <w:noBreakHyphen/>
        <w:t xml:space="preserve">2027. Podstatnou roli však sehrají prostředky z instrumentu EU příští generace, které by měly kulminovat v roce 2025. </w:t>
      </w:r>
    </w:p>
    <w:p w:rsidR="00465339" w:rsidRPr="00465339" w:rsidRDefault="00465339" w:rsidP="00465339">
      <w:r w:rsidRPr="00465339">
        <w:t xml:space="preserve">Celkové výdaje by mohly růst tempem necelých 4 %. </w:t>
      </w:r>
      <w:r w:rsidRPr="00465339">
        <w:rPr>
          <w:b/>
        </w:rPr>
        <w:t>Náhrady zaměstnancům</w:t>
      </w:r>
      <w:r w:rsidRPr="00465339">
        <w:t xml:space="preserve"> v sektoru vládních institucí by měly dosáhnout vyšší dynamiky než v letošním roce, zejména s přihlédnutím k části zaměstnancům s valorizovanými platy podle průměrné mzdy. Vedle toho uvažujeme s růstem platů i v ostatních částech sektoru vládních institucí, byť v nižší dynamice, než je tomu v automaticky valorizované části.</w:t>
      </w:r>
    </w:p>
    <w:p w:rsidR="00465339" w:rsidRPr="00465339" w:rsidRDefault="00465339" w:rsidP="00465339">
      <w:r w:rsidRPr="00465339">
        <w:rPr>
          <w:b/>
        </w:rPr>
        <w:t>Naturální sociální dávky</w:t>
      </w:r>
      <w:r w:rsidRPr="00465339">
        <w:t xml:space="preserve"> by měly v roce 2025 zvolnit, což je dáno vysokou základnou v roce 2024. U sociálních dávek na bydlení počítáme se zachováním relativně vyšší úrovně, i když vlivem rostoucích reálných výdělků by mohly výdaje mírně slábnout. Nárůst by pak ale měl být tažen zejména výdaji zdravotních pojišťoven umožněný nárůstem pojistného i plateb za státní pojištěnce. Růst </w:t>
      </w:r>
      <w:r w:rsidRPr="00465339">
        <w:rPr>
          <w:b/>
        </w:rPr>
        <w:t xml:space="preserve">mezispotřeby </w:t>
      </w:r>
      <w:r w:rsidRPr="00465339">
        <w:t>kolem 5 % je v porovnání s rokem 2024 o</w:t>
      </w:r>
      <w:r w:rsidR="00BE15A3">
        <w:t> </w:t>
      </w:r>
      <w:r w:rsidRPr="00465339">
        <w:t>něco nižší jak v důsledku nižší očekávané inflace, tak konsolidačním úsilím v provozních výdajích.</w:t>
      </w:r>
    </w:p>
    <w:p w:rsidR="00465339" w:rsidRPr="00465339" w:rsidRDefault="00465339" w:rsidP="00465339">
      <w:r w:rsidRPr="00465339">
        <w:t xml:space="preserve">V oblasti </w:t>
      </w:r>
      <w:r w:rsidRPr="00465339">
        <w:rPr>
          <w:b/>
        </w:rPr>
        <w:t>peněžitých dávek</w:t>
      </w:r>
      <w:r w:rsidRPr="00465339">
        <w:t xml:space="preserve"> sociálního zabezpečení počítáme v roce 2025 s navýšením výdajů na výplatu dávek </w:t>
      </w:r>
      <w:r w:rsidRPr="00465339">
        <w:t>důchodového pojištění. Ty by měly být ovlivněny jak standardní valorizací od ledna 2025 dle růstu cenového indexu životních nákladů důchodců o 1,7 %. Kromě důchodů počítáme se zachováním humanitární dávky vyplácené  osobám s dočasnou ochranou. Růst celkových peněžitých sociálních dávek by měl dosáhnout hodnoty 2,5</w:t>
      </w:r>
      <w:r w:rsidR="00BE15A3">
        <w:t> </w:t>
      </w:r>
      <w:r w:rsidRPr="00465339">
        <w:t>%. Ve vývoji dávek sociálního zabezpečení se v metodice národních účtů odráží i růst platby za státního pojištěnce o cca 2,5 mld. Kč.</w:t>
      </w:r>
    </w:p>
    <w:p w:rsidR="00465339" w:rsidRPr="00465339" w:rsidRDefault="00465339" w:rsidP="00465339">
      <w:r w:rsidRPr="00465339">
        <w:t xml:space="preserve">Výdaje na </w:t>
      </w:r>
      <w:r w:rsidRPr="00465339">
        <w:rPr>
          <w:b/>
        </w:rPr>
        <w:t>investice do fixních aktiv</w:t>
      </w:r>
      <w:r w:rsidRPr="00465339">
        <w:t xml:space="preserve"> budou ovlivněny zvýšenými výdaji v oblasti obrany, kde pracujeme s úrovní 2</w:t>
      </w:r>
      <w:r w:rsidR="00BE15A3">
        <w:t> </w:t>
      </w:r>
      <w:r w:rsidRPr="00465339">
        <w:t>% HDP dle definice příslušného zákona. Investice posílí i náběh zdrojů v rámci Národního plánu obnovy. Vliv bude mít i rozbíhající se finanční perspektiva 2021</w:t>
      </w:r>
      <w:r w:rsidRPr="00465339">
        <w:noBreakHyphen/>
        <w:t>2027 v souladu s danou fází cyklu využívání prostředků na kohezi. Dynamika celkových investic by v roce 2025 mohla dosáhnout více než 8 %, přičemž na růstu se podílí jak národní, tak z EU spolufinancované projekty.</w:t>
      </w:r>
    </w:p>
    <w:p w:rsidR="00465339" w:rsidRPr="00465339" w:rsidRDefault="00465339" w:rsidP="00465339">
      <w:r w:rsidRPr="00465339">
        <w:t>Opatření ozdravného balíčku zahrnují úspory v </w:t>
      </w:r>
      <w:r w:rsidRPr="00465339">
        <w:rPr>
          <w:b/>
        </w:rPr>
        <w:t>dotacích a běžných transferech</w:t>
      </w:r>
      <w:r w:rsidRPr="00465339">
        <w:t>, které by měly mít dodatečný dopad cca 10 mld. Kč i v roce 2025. Obě položky dohromady by měly v podstatě stagnovat</w:t>
      </w:r>
    </w:p>
    <w:p w:rsidR="00465339" w:rsidRPr="00465339" w:rsidRDefault="00465339" w:rsidP="00465339">
      <w:r w:rsidRPr="00465339">
        <w:rPr>
          <w:b/>
        </w:rPr>
        <w:t>Úrokové výdaje</w:t>
      </w:r>
      <w:r w:rsidRPr="00465339">
        <w:t xml:space="preserve"> by měly vlivem zlepšující se výše hospodaření sektoru vládních institucí a klesajících úrokových měr vzrůst jen nepatrně. V poměrovém vyjádření by se měly pohybovat kolem hodnoty 1,3 % HDP.</w:t>
      </w:r>
    </w:p>
    <w:p w:rsidR="00465339" w:rsidRPr="00465339" w:rsidRDefault="00465339" w:rsidP="00465339">
      <w:r w:rsidRPr="00465339">
        <w:rPr>
          <w:b/>
        </w:rPr>
        <w:t>Dluh</w:t>
      </w:r>
      <w:r w:rsidRPr="00465339">
        <w:t xml:space="preserve"> sektoru vládních institucí by měl v roce 2025 v poměrovém vyjádření mírně vzrůst o 0,6 procentního bodu na hodnotu 44,4 % HDP.</w:t>
      </w:r>
    </w:p>
    <w:p w:rsidR="00DE774F" w:rsidRPr="000620C3" w:rsidRDefault="00DE774F" w:rsidP="00DE774F">
      <w:pPr>
        <w:sectPr w:rsidR="00DE774F" w:rsidRPr="000620C3" w:rsidSect="00586243">
          <w:type w:val="continuous"/>
          <w:pgSz w:w="11906" w:h="16838" w:code="9"/>
          <w:pgMar w:top="1134" w:right="1134" w:bottom="1418" w:left="1134" w:header="709" w:footer="709" w:gutter="0"/>
          <w:cols w:num="2" w:space="397"/>
          <w:docGrid w:linePitch="360"/>
        </w:sectPr>
      </w:pPr>
    </w:p>
    <w:p w:rsidR="00DE774F" w:rsidRPr="000620C3" w:rsidRDefault="00DE774F" w:rsidP="002D1236">
      <w:pPr>
        <w:pStyle w:val="Nadpis2"/>
        <w:spacing w:before="360"/>
      </w:pPr>
      <w:bookmarkStart w:id="36" w:name="_Toc175914414"/>
      <w:r w:rsidRPr="000620C3">
        <w:t xml:space="preserve">Výhled hospodaření sektoru </w:t>
      </w:r>
      <w:r w:rsidR="00ED12C7" w:rsidRPr="000620C3">
        <w:t>vládních institucí v letech 202</w:t>
      </w:r>
      <w:r w:rsidR="00B57A98" w:rsidRPr="000620C3">
        <w:t>6</w:t>
      </w:r>
      <w:r w:rsidRPr="000620C3">
        <w:t xml:space="preserve"> a 202</w:t>
      </w:r>
      <w:r w:rsidR="00B57A98" w:rsidRPr="000620C3">
        <w:t>7</w:t>
      </w:r>
      <w:bookmarkEnd w:id="36"/>
    </w:p>
    <w:p w:rsidR="00DE774F" w:rsidRPr="000620C3" w:rsidRDefault="00DE774F" w:rsidP="00DE774F">
      <w:pPr>
        <w:sectPr w:rsidR="00DE774F" w:rsidRPr="000620C3" w:rsidSect="00404C4A">
          <w:type w:val="continuous"/>
          <w:pgSz w:w="11906" w:h="16838" w:code="9"/>
          <w:pgMar w:top="1134" w:right="1134" w:bottom="1418" w:left="1134" w:header="709" w:footer="709" w:gutter="0"/>
          <w:cols w:space="397"/>
          <w:docGrid w:linePitch="360"/>
        </w:sectPr>
      </w:pPr>
    </w:p>
    <w:p w:rsidR="00465339" w:rsidRPr="00465339" w:rsidRDefault="00465339" w:rsidP="00465339">
      <w:r w:rsidRPr="00465339">
        <w:t xml:space="preserve">V dalších letech by měl deficit sektoru vládních institucí klesat. Na konci výhledu očekáváme deficit ve výši 1,4 % HDP. Výhled na roky 2026 a 2027 je daný především makroekonomickým vývojem, roli však hrají i náběhy některých opatření z konsolidačního balíčku. </w:t>
      </w:r>
    </w:p>
    <w:p w:rsidR="00465339" w:rsidRPr="00465339" w:rsidRDefault="00465339" w:rsidP="00465339">
      <w:r w:rsidRPr="00465339">
        <w:t>Pro období výhledu predikujeme přetrvávající deficity veřejných financí, jež budou primárně determinovány státním rozpočtem. U místních vládních institucí předpokládáme pokračující přebytkové hospodaření, ačkoliv ve svém rozsahu o něco nižší oproti výsledkům hospodaření z posledních let. Odložené investiční projekty, které musely být přesoutěženy z důvodu vysoké inflace, by totiž měly být postupně realizovány za vyšší náklady. Odhad hospodaření fondů sociálního zabezpečení se odvíjí zvláště od predikovaného objemu mezd a platů v ekonomice, který je zásadní faktorem budoucího růstu pojistného. Vzhledem k jeho slábnoucí dynamice a spíše umírněnému růstu výdajů očekáváme, že hospodaření zdravotních pojišťoven bude dosahovat vyrovnaných, maximálně mírně přebytkových hodnot. Složky ústředních vládních institucí mimo státní rozpočet a státní fondy by jako celek měly hospodařit v průměru s malými přebytky.</w:t>
      </w:r>
    </w:p>
    <w:p w:rsidR="00465339" w:rsidRPr="00465339" w:rsidRDefault="00465339" w:rsidP="00465339">
      <w:r w:rsidRPr="00465339">
        <w:t xml:space="preserve">Na stranu </w:t>
      </w:r>
      <w:r w:rsidRPr="00465339">
        <w:rPr>
          <w:b/>
        </w:rPr>
        <w:t>příjmů</w:t>
      </w:r>
      <w:r w:rsidRPr="00465339">
        <w:t xml:space="preserve"> veřejných rozpočtů bude působit v prvé řadě predikovaný růst spotřeby domácností, částečně vládních institucí či některých investičních výdajů, na druhé straně růst objemu mezd a platů v ekonomice. Z diskrečních opatření budou příjmovou stranu ovlivňovat dlouhodobější opatření s dodatečnými dopady do veřejných financí, jako mimořádné zrychlení odpisů či vliv osvobození státních dluhopisů od daně z příjmů právnických osob. V rámci opatření z konsolidačního balíčku budou v řádu jednotek miliard v úhrnu působit navyšování spotřebních daní z tabákových výrobků, znovuzavedení nemocenského pojištění, zvýšení sazby daně z příjmů právnických osob nebo růst vyměřovacího základu u sociálního pojištění pro osoby samostatně výdělečně činné. V řádu vyšších stovek milionů pak odhadujeme zvýšení výnosu u daně z nemovitých věcí a z prodejů dálničních známek v důsledku automatické valorizace dle míry inflace. Vlivem těchto faktorů by celkové daňové příjmy včetně příspěvků na sociální zabezpečení měly růst v průměru tempem okolo 4 %.</w:t>
      </w:r>
    </w:p>
    <w:p w:rsidR="00465339" w:rsidRPr="00465339" w:rsidRDefault="00465339" w:rsidP="00465339">
      <w:r w:rsidRPr="00465339">
        <w:t xml:space="preserve">Celkové </w:t>
      </w:r>
      <w:r w:rsidRPr="00465339">
        <w:rPr>
          <w:b/>
        </w:rPr>
        <w:t>výdaje</w:t>
      </w:r>
      <w:r w:rsidRPr="00465339">
        <w:t xml:space="preserve"> sektoru vládních institucí by v letech výhledu měly růst o 2,5 %. Na dynamiku penzijních dávek bude působit očekávaný růst cenového indexu životních </w:t>
      </w:r>
      <w:r w:rsidRPr="00465339">
        <w:lastRenderedPageBreak/>
        <w:t>nákladů důchodců k červnu 2025 a 2026, růst reálných mezd by neměl do konce horizontu výhledu hrát roli. Vyšší výdaje si vyžádá růst rodičovského příspěvku (1,5 až 2 mld. Kč v roce 2026 a 2027). Naturální sociální dávky by mohly růst kolem 4 % v souladu s klesající dynamikou růstu objemu mezd a platů v ekonomice i zvolňujícími nárůsty v platbách za státní pojištěnce. Zvyšující se disponibilní důchody domácností by rovněž měly ulevit tlaku na</w:t>
      </w:r>
      <w:r w:rsidR="000C7D90">
        <w:t> </w:t>
      </w:r>
      <w:r w:rsidRPr="00465339">
        <w:t>výplatu sociálních dávek souvisejících s bydlením i</w:t>
      </w:r>
      <w:r w:rsidR="000C7D90">
        <w:t> </w:t>
      </w:r>
      <w:r w:rsidRPr="00465339">
        <w:t>hmotnou nouzí. U náhrad zaměstnancům v sektoru vládních institucí očekáváme relativně pomalejší nárůsty (oproti roku 2025) tažené platy navázanými na minulý vývoj průměrné mzdy. Mezispotřeba by měla růst kolem 3,5</w:t>
      </w:r>
      <w:r w:rsidR="000C7D90">
        <w:t> </w:t>
      </w:r>
      <w:r w:rsidRPr="00465339">
        <w:t xml:space="preserve">%, počítáme u ní s dopady snahy o úspory v rámci snižování strukturálního deficitu směrem k 1 % HDP. Investiční výdaje by měly meziročně zpomalovat v důsledku nižších objemů projektů financovaných EU. Sice bude sílit </w:t>
      </w:r>
      <w:r w:rsidRPr="00465339">
        <w:t>příliv prostředků související s novou finanční perspektivou, na</w:t>
      </w:r>
      <w:r w:rsidR="000C7D90">
        <w:t> </w:t>
      </w:r>
      <w:r w:rsidRPr="00465339">
        <w:t>druhou stranu však bude výrazně slábnout dynamika u prostředků z EU příští generace. Národní investice budou odrážet mimo jiné výdaje na obranu dosahující úrovně 2 % HDP a počítáme s kladným růstem národních investic v celém horizontu výhledu. Dotace by měly růst relativně mírně, což by rovněž měl být důsledek nutných úspor na výdajové straně, podobně jako u nákupů zboží a</w:t>
      </w:r>
      <w:r w:rsidR="000C7D90">
        <w:t> </w:t>
      </w:r>
      <w:r w:rsidRPr="00465339">
        <w:t>služeb. Úrokové výdaje predikujeme, že v poměru na</w:t>
      </w:r>
      <w:r w:rsidR="000C7D90">
        <w:t> </w:t>
      </w:r>
      <w:r w:rsidRPr="00465339">
        <w:t>HDP v horizontu výhledu setrvají na 1,3 % HDP.</w:t>
      </w:r>
    </w:p>
    <w:p w:rsidR="00465339" w:rsidRPr="00465339" w:rsidRDefault="00465339" w:rsidP="00465339">
      <w:r w:rsidRPr="00465339">
        <w:t xml:space="preserve">Hospodaření sektoru vládních institucí by se rovněž dále mělo odrazit ve vývoji jeho zadlužení. </w:t>
      </w:r>
      <w:r w:rsidRPr="00465339">
        <w:rPr>
          <w:b/>
        </w:rPr>
        <w:t>Dluh</w:t>
      </w:r>
      <w:r w:rsidRPr="00465339">
        <w:t xml:space="preserve"> v poměru k HDP by měl z hodnoty 44,4 % v roce 2025 vzrůst na hodnotu kolem 44,9 % v roce 2026 a následující rok pak mírně poklesnout.</w:t>
      </w:r>
    </w:p>
    <w:p w:rsidR="00D26198" w:rsidRPr="002A23FD" w:rsidRDefault="00D26198" w:rsidP="00DE774F">
      <w:pPr>
        <w:rPr>
          <w:highlight w:val="cyan"/>
        </w:rPr>
        <w:sectPr w:rsidR="00D26198" w:rsidRPr="002A23FD" w:rsidSect="00DE774F">
          <w:headerReference w:type="even" r:id="rId38"/>
          <w:footerReference w:type="even" r:id="rId39"/>
          <w:type w:val="continuous"/>
          <w:pgSz w:w="11906" w:h="16838" w:code="9"/>
          <w:pgMar w:top="1134" w:right="1134" w:bottom="1418" w:left="1134" w:header="709" w:footer="709" w:gutter="0"/>
          <w:cols w:num="2" w:space="397"/>
          <w:docGrid w:linePitch="360"/>
        </w:sect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57" w:type="dxa"/>
        </w:tblCellMar>
        <w:tblLook w:val="04A0" w:firstRow="1" w:lastRow="0" w:firstColumn="1" w:lastColumn="0" w:noHBand="0" w:noVBand="1"/>
      </w:tblPr>
      <w:tblGrid>
        <w:gridCol w:w="4814"/>
        <w:gridCol w:w="4814"/>
      </w:tblGrid>
      <w:tr w:rsidR="0040370A" w:rsidRPr="002A23FD" w:rsidTr="002D1236">
        <w:tc>
          <w:tcPr>
            <w:tcW w:w="4814" w:type="dxa"/>
          </w:tcPr>
          <w:p w:rsidR="0040370A" w:rsidRPr="002A23FD" w:rsidRDefault="0040370A" w:rsidP="00291253">
            <w:pPr>
              <w:pStyle w:val="Titulek"/>
              <w:rPr>
                <w:highlight w:val="cyan"/>
              </w:rPr>
            </w:pPr>
          </w:p>
        </w:tc>
        <w:tc>
          <w:tcPr>
            <w:tcW w:w="4814" w:type="dxa"/>
          </w:tcPr>
          <w:p w:rsidR="0040370A" w:rsidRPr="002A23FD" w:rsidRDefault="0040370A" w:rsidP="00291253">
            <w:pPr>
              <w:pStyle w:val="Titulek"/>
              <w:rPr>
                <w:highlight w:val="cyan"/>
              </w:rPr>
            </w:pPr>
          </w:p>
        </w:tc>
      </w:tr>
      <w:tr w:rsidR="004D3258" w:rsidRPr="001716F8" w:rsidTr="002D1236">
        <w:tc>
          <w:tcPr>
            <w:tcW w:w="4814" w:type="dxa"/>
          </w:tcPr>
          <w:p w:rsidR="00E04CB0" w:rsidRPr="001716F8" w:rsidRDefault="00E04CB0" w:rsidP="00E04CB0">
            <w:pPr>
              <w:keepNext/>
              <w:keepLines/>
              <w:spacing w:before="240" w:after="0"/>
              <w:ind w:right="219"/>
              <w:rPr>
                <w:b/>
                <w:bCs/>
              </w:rPr>
            </w:pPr>
            <w:bookmarkStart w:id="37" w:name="_Toc115424548"/>
            <w:r w:rsidRPr="001716F8">
              <w:rPr>
                <w:b/>
                <w:bCs/>
              </w:rPr>
              <w:t xml:space="preserve">Graf </w:t>
            </w:r>
            <w:r w:rsidRPr="001716F8">
              <w:rPr>
                <w:b/>
                <w:bCs/>
              </w:rPr>
              <w:fldChar w:fldCharType="begin"/>
            </w:r>
            <w:r w:rsidRPr="001716F8">
              <w:rPr>
                <w:b/>
                <w:bCs/>
              </w:rPr>
              <w:instrText xml:space="preserve"> SEQ Graf \* ARABIC </w:instrText>
            </w:r>
            <w:r w:rsidRPr="001716F8">
              <w:rPr>
                <w:b/>
                <w:bCs/>
              </w:rPr>
              <w:fldChar w:fldCharType="separate"/>
            </w:r>
            <w:r w:rsidR="001773BF">
              <w:rPr>
                <w:b/>
                <w:bCs/>
                <w:noProof/>
              </w:rPr>
              <w:t>10</w:t>
            </w:r>
            <w:r w:rsidRPr="001716F8">
              <w:rPr>
                <w:b/>
                <w:bCs/>
                <w:noProof/>
              </w:rPr>
              <w:fldChar w:fldCharType="end"/>
            </w:r>
            <w:r w:rsidRPr="001716F8">
              <w:rPr>
                <w:b/>
                <w:bCs/>
              </w:rPr>
              <w:t xml:space="preserve">: Saldo veřejných financí </w:t>
            </w:r>
            <w:r w:rsidRPr="001716F8">
              <w:rPr>
                <w:b/>
                <w:bCs/>
                <w:i/>
              </w:rPr>
              <w:t>(saldo sektoru vládních institucí, v % HDP)</w:t>
            </w:r>
            <w:bookmarkEnd w:id="37"/>
          </w:p>
          <w:p w:rsidR="004D3258" w:rsidRPr="001716F8" w:rsidRDefault="001B2C11" w:rsidP="002D1236">
            <w:pPr>
              <w:spacing w:after="0"/>
            </w:pPr>
            <w:r w:rsidRPr="001716F8">
              <w:rPr>
                <w:noProof/>
                <w:lang w:val="en-US" w:eastAsia="en-US"/>
              </w:rPr>
              <w:drawing>
                <wp:inline distT="0" distB="0" distL="0" distR="0" wp14:anchorId="31470ED2">
                  <wp:extent cx="2932430" cy="1701165"/>
                  <wp:effectExtent l="0" t="0" r="0" b="0"/>
                  <wp:docPr id="66" name="Obrázek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932430" cy="1701165"/>
                          </a:xfrm>
                          <a:prstGeom prst="rect">
                            <a:avLst/>
                          </a:prstGeom>
                          <a:noFill/>
                        </pic:spPr>
                      </pic:pic>
                    </a:graphicData>
                  </a:graphic>
                </wp:inline>
              </w:drawing>
            </w:r>
          </w:p>
          <w:p w:rsidR="004D3258" w:rsidRPr="001716F8" w:rsidRDefault="004D3258" w:rsidP="002D1236">
            <w:pPr>
              <w:pStyle w:val="Zdrojpodtabulkounebografem"/>
              <w:spacing w:after="0"/>
            </w:pPr>
            <w:r w:rsidRPr="001716F8">
              <w:t>Zdroj: ČSÚ. Predikce MF ČR.</w:t>
            </w:r>
          </w:p>
        </w:tc>
        <w:tc>
          <w:tcPr>
            <w:tcW w:w="4814" w:type="dxa"/>
          </w:tcPr>
          <w:p w:rsidR="00E04CB0" w:rsidRPr="001716F8" w:rsidRDefault="00E04CB0" w:rsidP="00E04CB0">
            <w:pPr>
              <w:keepNext/>
              <w:keepLines/>
              <w:spacing w:before="240" w:after="0"/>
              <w:ind w:left="147"/>
              <w:rPr>
                <w:b/>
                <w:bCs/>
              </w:rPr>
            </w:pPr>
            <w:bookmarkStart w:id="38" w:name="_Toc115424549"/>
            <w:r w:rsidRPr="001716F8">
              <w:rPr>
                <w:b/>
                <w:bCs/>
              </w:rPr>
              <w:t xml:space="preserve">Graf </w:t>
            </w:r>
            <w:r w:rsidRPr="001716F8">
              <w:rPr>
                <w:b/>
                <w:bCs/>
              </w:rPr>
              <w:fldChar w:fldCharType="begin"/>
            </w:r>
            <w:r w:rsidRPr="001716F8">
              <w:rPr>
                <w:b/>
                <w:bCs/>
              </w:rPr>
              <w:instrText xml:space="preserve"> SEQ Graf \* ARABIC </w:instrText>
            </w:r>
            <w:r w:rsidRPr="001716F8">
              <w:rPr>
                <w:b/>
                <w:bCs/>
              </w:rPr>
              <w:fldChar w:fldCharType="separate"/>
            </w:r>
            <w:r w:rsidR="001773BF">
              <w:rPr>
                <w:b/>
                <w:bCs/>
                <w:noProof/>
              </w:rPr>
              <w:t>11</w:t>
            </w:r>
            <w:r w:rsidRPr="001716F8">
              <w:rPr>
                <w:b/>
                <w:bCs/>
                <w:noProof/>
              </w:rPr>
              <w:fldChar w:fldCharType="end"/>
            </w:r>
            <w:r w:rsidRPr="001716F8">
              <w:rPr>
                <w:b/>
                <w:bCs/>
              </w:rPr>
              <w:t xml:space="preserve">: Zadlužení veřejných financí </w:t>
            </w:r>
            <w:r w:rsidRPr="001716F8">
              <w:rPr>
                <w:b/>
                <w:bCs/>
                <w:i/>
              </w:rPr>
              <w:t>(dluh sektoru vládních institucí, v % HDP)</w:t>
            </w:r>
            <w:bookmarkEnd w:id="38"/>
          </w:p>
          <w:p w:rsidR="004D3258" w:rsidRPr="001716F8" w:rsidRDefault="001B2C11" w:rsidP="002D1236">
            <w:pPr>
              <w:spacing w:after="0"/>
            </w:pPr>
            <w:r w:rsidRPr="001716F8">
              <w:rPr>
                <w:noProof/>
                <w:lang w:val="en-US" w:eastAsia="en-US"/>
              </w:rPr>
              <w:drawing>
                <wp:inline distT="0" distB="0" distL="0" distR="0" wp14:anchorId="1ED74AD4">
                  <wp:extent cx="2938780" cy="1701165"/>
                  <wp:effectExtent l="0" t="0" r="0" b="0"/>
                  <wp:docPr id="67" name="Obrázek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938780" cy="1701165"/>
                          </a:xfrm>
                          <a:prstGeom prst="rect">
                            <a:avLst/>
                          </a:prstGeom>
                          <a:noFill/>
                        </pic:spPr>
                      </pic:pic>
                    </a:graphicData>
                  </a:graphic>
                </wp:inline>
              </w:drawing>
            </w:r>
          </w:p>
          <w:p w:rsidR="004D3258" w:rsidRPr="001716F8" w:rsidRDefault="004D3258" w:rsidP="002D1236">
            <w:pPr>
              <w:pStyle w:val="Zdrojpodtabulkounebografem"/>
              <w:spacing w:after="0"/>
            </w:pPr>
            <w:r w:rsidRPr="001716F8">
              <w:t>Zdroj: ČSÚ. Predikce MF ČR.</w:t>
            </w:r>
          </w:p>
        </w:tc>
      </w:tr>
    </w:tbl>
    <w:p w:rsidR="00E8085D" w:rsidRPr="002A23FD" w:rsidRDefault="00E8085D" w:rsidP="00D26198">
      <w:pPr>
        <w:rPr>
          <w:highlight w:val="cyan"/>
        </w:rPr>
        <w:sectPr w:rsidR="00E8085D" w:rsidRPr="002A23FD" w:rsidSect="00E8085D">
          <w:type w:val="continuous"/>
          <w:pgSz w:w="11906" w:h="16838"/>
          <w:pgMar w:top="1134" w:right="1134" w:bottom="1134" w:left="1134" w:header="708" w:footer="708" w:gutter="0"/>
          <w:cols w:space="708"/>
          <w:docGrid w:linePitch="360"/>
        </w:sectPr>
      </w:pPr>
    </w:p>
    <w:p w:rsidR="00E8085D" w:rsidRPr="00E62694" w:rsidRDefault="00E8085D" w:rsidP="00037618">
      <w:pPr>
        <w:pStyle w:val="Nadpis1"/>
        <w:pageBreakBefore w:val="0"/>
        <w:tabs>
          <w:tab w:val="clear" w:pos="6663"/>
          <w:tab w:val="num" w:pos="5670"/>
        </w:tabs>
        <w:ind w:left="567"/>
      </w:pPr>
      <w:bookmarkStart w:id="39" w:name="_Toc111801231"/>
      <w:bookmarkStart w:id="40" w:name="_Toc175914415"/>
      <w:r w:rsidRPr="00E62694">
        <w:rPr>
          <w:szCs w:val="40"/>
        </w:rPr>
        <w:lastRenderedPageBreak/>
        <w:t>Výdajový rámec na rok 202</w:t>
      </w:r>
      <w:r w:rsidR="00E62694" w:rsidRPr="00E62694">
        <w:rPr>
          <w:szCs w:val="40"/>
        </w:rPr>
        <w:t>5</w:t>
      </w:r>
      <w:r w:rsidRPr="00E62694">
        <w:rPr>
          <w:szCs w:val="40"/>
        </w:rPr>
        <w:t xml:space="preserve"> až </w:t>
      </w:r>
      <w:bookmarkEnd w:id="39"/>
      <w:r w:rsidRPr="00E62694">
        <w:rPr>
          <w:szCs w:val="40"/>
        </w:rPr>
        <w:t>202</w:t>
      </w:r>
      <w:r w:rsidR="00E62694" w:rsidRPr="00E62694">
        <w:rPr>
          <w:szCs w:val="40"/>
        </w:rPr>
        <w:t>7</w:t>
      </w:r>
      <w:bookmarkEnd w:id="40"/>
    </w:p>
    <w:p w:rsidR="00E62694" w:rsidRPr="001F5BB4" w:rsidRDefault="00E62694" w:rsidP="00E62694">
      <w:r w:rsidRPr="001F5BB4">
        <w:t xml:space="preserve">Způsob určení výdajových rámců se odvíjí od zákonem stanoveného salda upraveného o vlivy hospodářského cyklu a jednorázová či jiná přechodná opatření, tedy z konceptu strukturálního salda. </w:t>
      </w:r>
      <w:r>
        <w:t>Z</w:t>
      </w:r>
      <w:r w:rsidRPr="00200295">
        <w:t>ákon</w:t>
      </w:r>
      <w:r>
        <w:t xml:space="preserve"> č. 349/2003 Sb., </w:t>
      </w:r>
      <w:r w:rsidRPr="00200295">
        <w:t>kterým se mění některé zákony v souvislosti s konsolidací veřejných rozpočtů</w:t>
      </w:r>
      <w:r>
        <w:t xml:space="preserve">, novelizoval </w:t>
      </w:r>
      <w:r w:rsidRPr="001F5BB4">
        <w:t xml:space="preserve">zákon o pravidlech rozpočtové odpovědnosti </w:t>
      </w:r>
      <w:r>
        <w:t>a urychlil dobu korekce strukturálního deficitu zpět pod 1 % HDP. Zákon explicitně stanovuje strukturální deficit veřejných financí pro rok 2024 na úroveň 2,75 % HDP</w:t>
      </w:r>
      <w:r w:rsidRPr="001F5BB4">
        <w:t xml:space="preserve">. V následujících letech pak zákon požaduje intenzitu konsolidace alespoň o 0,5 procentního bodu ročně. </w:t>
      </w:r>
    </w:p>
    <w:p w:rsidR="00E62694" w:rsidRDefault="00E62694" w:rsidP="00E62694">
      <w:r w:rsidRPr="001F5BB4">
        <w:t xml:space="preserve">Aplikaci a popis odvození </w:t>
      </w:r>
      <w:r w:rsidRPr="001F5BB4">
        <w:rPr>
          <w:b/>
        </w:rPr>
        <w:t>výdajových rámců</w:t>
      </w:r>
      <w:r w:rsidRPr="001F5BB4">
        <w:t xml:space="preserve"> na příští tři roky obsahuje Rozpočtová strategie sektoru veřejných institucí ČR na roky 202</w:t>
      </w:r>
      <w:r>
        <w:t>5</w:t>
      </w:r>
      <w:r w:rsidRPr="001F5BB4">
        <w:t>–202</w:t>
      </w:r>
      <w:r>
        <w:t>7</w:t>
      </w:r>
      <w:r w:rsidRPr="001F5BB4">
        <w:t xml:space="preserve"> (dále jen „Strategie“). Strat</w:t>
      </w:r>
      <w:r>
        <w:t>egie byla schválena vládou dne 24</w:t>
      </w:r>
      <w:r w:rsidRPr="001F5BB4">
        <w:t xml:space="preserve">. </w:t>
      </w:r>
      <w:r>
        <w:t>dub</w:t>
      </w:r>
      <w:r w:rsidRPr="001F5BB4">
        <w:t>na 202</w:t>
      </w:r>
      <w:r>
        <w:t>4</w:t>
      </w:r>
      <w:r w:rsidRPr="001F5BB4">
        <w:t xml:space="preserve"> jako výchozí dokument pro přípravu návrhu státního rozpočtu, rozpočtů státních fondů a jejich střednědobých výhledů.</w:t>
      </w:r>
    </w:p>
    <w:p w:rsidR="00E8085D" w:rsidRPr="002A23FD" w:rsidRDefault="00E8085D" w:rsidP="00E8085D">
      <w:pPr>
        <w:rPr>
          <w:highlight w:val="cyan"/>
        </w:rPr>
        <w:sectPr w:rsidR="00E8085D" w:rsidRPr="002A23FD" w:rsidSect="00E8085D">
          <w:pgSz w:w="11906" w:h="16838"/>
          <w:pgMar w:top="1134" w:right="1134" w:bottom="1134" w:left="1134" w:header="708" w:footer="708" w:gutter="0"/>
          <w:cols w:space="708"/>
          <w:docGrid w:linePitch="360"/>
        </w:sectPr>
      </w:pPr>
    </w:p>
    <w:p w:rsidR="00E62694" w:rsidRPr="00E62694" w:rsidRDefault="00E62694" w:rsidP="00E62694">
      <w:pPr>
        <w:spacing w:after="0"/>
      </w:pPr>
      <w:r w:rsidRPr="00E62694">
        <w:t>Výdajové rámce jsou odvozovány z celkového salda sektoru vládních institucí v mezinárodně srovnatelné akruální metodice Evropského systému národních a regionálních účtů (ESA 2010), které je upraveno o očekávaný vliv hospodářského cyklu a případná jednorázová či jiná přechodná opatření. Odečtením predikované výše strukturálních sald všech ostatních jednotek sektoru vládních institucí mimo státní rozpočet a státní fondy je získána očekávaná výše strukturálního salda státního rozpočtu a státních fondů. K němu jsou přičteny cyklické příjmy státního rozpočtu a státních fondů a saldo očekávaných jednorázových operací, čímž je odvozeno akruální saldo státního rozpočtu a státních fondů. Výdajové rámce na hotovostní bázi pak vzniknou odečtením metodických úprav, které odlišují akruální a hotovostní pojetí transakcí, a zohledněním predikovaných konsolidovaných hotovostních příjmů státního rozpočtu a státních fondů. Zákon č. 218/2000 Sb., o rozpočtových pravidlech a o změně některých souvisejících zákonů, ve znění platných předpisů, umožňuje MF, aby částky stanovené v Strategii byly pro návrh státního rozpočtu a rozpočtů státních fondů či jejich střednědobých výhledů aktualizovány o následující taxativní výčet:</w:t>
      </w:r>
    </w:p>
    <w:p w:rsidR="00E62694" w:rsidRPr="00E62694" w:rsidRDefault="00E62694" w:rsidP="00E62694">
      <w:pPr>
        <w:numPr>
          <w:ilvl w:val="0"/>
          <w:numId w:val="4"/>
        </w:numPr>
        <w:contextualSpacing/>
        <w:rPr>
          <w:szCs w:val="22"/>
        </w:rPr>
      </w:pPr>
      <w:r w:rsidRPr="00E62694">
        <w:rPr>
          <w:szCs w:val="22"/>
        </w:rPr>
        <w:t>změnu prognózovaných celkových příjmů včetně příjmů prostředků z rozpočtu EU a z finančních mechanismů na příslušný rok upravených o vliv hospodářského cyklu a o vliv jednorázových a přechodných operací,</w:t>
      </w:r>
    </w:p>
    <w:p w:rsidR="00E62694" w:rsidRPr="00E62694" w:rsidRDefault="00E62694" w:rsidP="00E62694">
      <w:pPr>
        <w:numPr>
          <w:ilvl w:val="0"/>
          <w:numId w:val="4"/>
        </w:numPr>
        <w:contextualSpacing/>
        <w:rPr>
          <w:szCs w:val="22"/>
        </w:rPr>
      </w:pPr>
      <w:r w:rsidRPr="00E62694">
        <w:rPr>
          <w:szCs w:val="22"/>
        </w:rPr>
        <w:t>vliv významného zhoršení ekonomického vývoje, pokud MF předpovídá v daném čtvrtletí meziroční pokles reálného HDP o nejméně 3 %,</w:t>
      </w:r>
    </w:p>
    <w:p w:rsidR="00E62694" w:rsidRPr="00E62694" w:rsidRDefault="00E62694" w:rsidP="00E62694">
      <w:pPr>
        <w:numPr>
          <w:ilvl w:val="0"/>
          <w:numId w:val="4"/>
        </w:numPr>
        <w:contextualSpacing/>
        <w:rPr>
          <w:szCs w:val="22"/>
        </w:rPr>
      </w:pPr>
      <w:r w:rsidRPr="00E62694">
        <w:rPr>
          <w:szCs w:val="22"/>
        </w:rPr>
        <w:t>vliv zhoršování bezpečnostní situace státu spojené s vyhlášením mimořádných opatření vládou ke zvýšení jeho obranyschopnosti,</w:t>
      </w:r>
    </w:p>
    <w:p w:rsidR="00E62694" w:rsidRPr="00E62694" w:rsidRDefault="00E62694" w:rsidP="00E62694">
      <w:pPr>
        <w:numPr>
          <w:ilvl w:val="0"/>
          <w:numId w:val="4"/>
        </w:numPr>
        <w:contextualSpacing/>
        <w:rPr>
          <w:szCs w:val="22"/>
        </w:rPr>
      </w:pPr>
      <w:r w:rsidRPr="00E62694">
        <w:rPr>
          <w:szCs w:val="22"/>
        </w:rPr>
        <w:t>vliv odstraňování následků živelních pohrom,</w:t>
      </w:r>
    </w:p>
    <w:p w:rsidR="00E62694" w:rsidRPr="00E62694" w:rsidRDefault="00E62694" w:rsidP="00E62694">
      <w:pPr>
        <w:numPr>
          <w:ilvl w:val="0"/>
          <w:numId w:val="4"/>
        </w:numPr>
        <w:contextualSpacing/>
        <w:rPr>
          <w:szCs w:val="22"/>
        </w:rPr>
      </w:pPr>
      <w:r w:rsidRPr="00E62694">
        <w:rPr>
          <w:szCs w:val="22"/>
        </w:rPr>
        <w:t>0,3 % této částky, jestliže je to třeba k tomu, aby byly vzaty v úvahu vlivy, s kterými se při stanovení této částky nepočítalo.</w:t>
      </w:r>
    </w:p>
    <w:p w:rsidR="00E62694" w:rsidRPr="00E62694" w:rsidRDefault="00E62694" w:rsidP="00E62694">
      <w:r w:rsidRPr="00E62694">
        <w:t>Na rok 2025 schválila vláda ČR svým usnesením č. 267/2024 hotovostní konsolidovaný výdajový rámec státního rozpočtu ČR a státních fondů ve výši 2 364 mld. Kč. Pro roky výhledu pak 2 408 mld. Kč pro rok 2026 a 2 430 mld. Kč pro rok 2027. Tyto rámce se tedy ve výše uvedených intencích upraví následovně.</w:t>
      </w:r>
    </w:p>
    <w:p w:rsidR="00E62694" w:rsidRPr="00E62694" w:rsidRDefault="00E62694" w:rsidP="00E62694">
      <w:r w:rsidRPr="00E62694">
        <w:t>V oblasti predikce makroekonomického vývoje (Tabulka č. 4) nedošlo mezi dubnem a srpnem k výrazným změnám, přestože ČSÚ revidoval makroekonomické ukazatele národních účtů. Odhad růstu pro rok 2024 byl snížen o 0,3 p. b., zatímco pro rok 2025 byl růst revidován o 0,1 p. b. nahoru. V nominálním vyjádření byl růst hrubého domácího produktu v letech 2024 a 2025 modifikován směrem nahoru o 0,2 p. b., resp. 0,5 p. b. V letech výhledu se reálný růst liší ještě méně, o 0,1 až 0,2 p. b., v nominálním vyjádření jsou diference zhruba dvojnásobné (tedy 0,2 až 0,4 p. b.). Z hlediska makroekonomických základen jednotlivých příjmových položek došlo ke zvýšení růstu spotřeby domácností o 0,3 p. b. v roce 2024, v roce 2025 pak o 0,8 p. b. V letech výhledu došlo ke změně jen v roce 2026, konkrétně pak o 0,4 p. b. Zvýšení spotřeby domácností odráží pokles v očekávané míře inflace a silnější růst reálných mezd oproti predikci z dubna. Objem mezd a platů byl navýšen zejména pro rok 2025, kde změna činí necelý 1 p. b., v dalších letech jsou změny již relativně malé. Na tomto zvýšení odhadu se podílí jak změna očekávání u tržních odvětví, tak růst objemu platů ve veřejné sféře. Aktualizací makroekonomické predikce došlo i k mírné změně odhadu produkční mezery, která se vlivem nižšího růstu v letošním roce rozšířila o 0,5 p. b. v letech 2024 a 2025. Růst záporné produkční mezery či pokles kladné produkční mezery (jak je tomu v letech výhledu) z</w:t>
      </w:r>
      <w:r w:rsidR="00D13EC7">
        <w:t> </w:t>
      </w:r>
      <w:r w:rsidRPr="00E62694">
        <w:t>logiky fiskálního pravidla založeného na strukturálním saldu v případě dodatečných příjmů závislých na hospodářském cyklu výdajový rámec relativně zvyšuje.</w:t>
      </w:r>
    </w:p>
    <w:p w:rsidR="00E62694" w:rsidRPr="00E62694" w:rsidRDefault="00E62694" w:rsidP="00E62694">
      <w:r w:rsidRPr="00E62694">
        <w:t>Odlišná predikce hotovostních příjmů státního rozpočtu a státních fondů je založena nejenom na aktualizované makroekonomické predikci a nových diskrečních opatřeních, ale i na údajích z pokladního plnění, které byly v době zpracování predikce známy za sedm měsíců roku 2024. Rozpočtová strategie sektoru veřejných institucí ČR dále počítala s prostředky z EU a finančních mechanismů ve výši 190 mld. Kč, tato částka byla pro rok 2025 nepatrně zvýšena na 190,2 mld. Kč. Pro roky výhledu predikce evropských prostředků nebyla upravena vůbec.</w:t>
      </w:r>
    </w:p>
    <w:p w:rsidR="00E62694" w:rsidRPr="00E62694" w:rsidRDefault="00E62694" w:rsidP="00E62694">
      <w:r w:rsidRPr="00E62694">
        <w:t xml:space="preserve">Na základě nové predikce příjmů státního rozpočtu a státních fondů je pak možné zvýšit výdajový rámec pro rok 2025 o 42,3 mld. Kč. Z této částky je zhruba 86 % tvořeno vyššími příjmy z daní a pojistného. Zvýšení ostatních příjmů tvoří ve všech letech zbylých cca 14 % (jde o vyšší nedaňové a kapitálové příjmy, např. z emisních povolenek). V letech výhledu pak dodatečné příjmy činí 7,5 resp. </w:t>
      </w:r>
      <w:r w:rsidRPr="00E62694">
        <w:lastRenderedPageBreak/>
        <w:t>20,4</w:t>
      </w:r>
      <w:r w:rsidR="005D11F8">
        <w:t> </w:t>
      </w:r>
      <w:r w:rsidRPr="00E62694">
        <w:t>mld. Kč, opět naprostou většinou tvořených vyššími daňovými příjmy včetně sociálního pojištění.</w:t>
      </w:r>
    </w:p>
    <w:p w:rsidR="00E62694" w:rsidRPr="00E62694" w:rsidRDefault="00E62694" w:rsidP="00E62694">
      <w:r w:rsidRPr="00E62694">
        <w:t>Vliv hospodářského cyklu ve změně příjmů je pak odhadován na -0,1 mld. Kč v roce 2025 (tedy o dalších 0,1 mld. Kč rámec zvyšuje), v letech výhledu pak kladná produkční mezera rámce oproti dubnu mírně snižuje (pro rok 2027 o 0,1 mld. Kč). V případě jednorázových opatření došlo pro rok 2025 k úpravě výdajového rámce o rozdíl jednorázových či přechodných výdajů a příjmů o 14,6 mld. Kč, které jsou tvořeny daní z neočekávaných zisků, humanitární dávkou a příspěvkem na ubytování pro osoby s dočasnou ochranou.</w:t>
      </w:r>
    </w:p>
    <w:p w:rsidR="00E62694" w:rsidRPr="00E62694" w:rsidRDefault="00E62694" w:rsidP="00E62694">
      <w:r w:rsidRPr="00E62694">
        <w:t>Aktualizovaná výše konsolidovaného výdajového rámce státního rozpočtu a státních fondů na rok 2025 tak po za</w:t>
      </w:r>
      <w:r w:rsidRPr="00E62694">
        <w:t>okrouhlení na celé miliardy korun činí 2 392 mld. Kč. Výdajové rámce pro roky 2026 a 2027 jsou upraveny obdobným způsobem jako rok 2025 a nové rámce tak činí 2 415 mld. Kč pro rok 2026 a 2 450 mld. Kč pro rok 2027 (viz Tabulka č. 5).</w:t>
      </w:r>
    </w:p>
    <w:p w:rsidR="00E62694" w:rsidRPr="00E62694" w:rsidRDefault="00E62694" w:rsidP="00E62694">
      <w:r w:rsidRPr="00E62694">
        <w:t>Z předloženého návrhu příjmů a výdajů kapitol státního rozpočtu a státních fondů vyplývá, že konsolidovaný střednědobý výdajový rámec pro státní rozpočet a státní fondy pro roky 2025 až 2027 je v souladu se schválenou Rozpočtovou strategií sektoru veřejných institucí na roky 2025 až 2027 podle zákona o pravidlech rozpočtové odpovědnosti a podle zákona o rozpočtových pravidlech.</w:t>
      </w:r>
    </w:p>
    <w:p w:rsidR="00E8085D" w:rsidRPr="002A23FD" w:rsidRDefault="00E8085D" w:rsidP="00E8085D">
      <w:pPr>
        <w:rPr>
          <w:highlight w:val="cyan"/>
        </w:rPr>
      </w:pPr>
    </w:p>
    <w:p w:rsidR="00E8085D" w:rsidRPr="002A23FD" w:rsidRDefault="00E8085D" w:rsidP="00291253">
      <w:pPr>
        <w:pStyle w:val="Titulek"/>
        <w:rPr>
          <w:highlight w:val="cyan"/>
        </w:rPr>
        <w:sectPr w:rsidR="00E8085D" w:rsidRPr="002A23FD" w:rsidSect="00AB13CE">
          <w:type w:val="continuous"/>
          <w:pgSz w:w="11906" w:h="16838" w:code="9"/>
          <w:pgMar w:top="1134" w:right="1134" w:bottom="1418" w:left="1134" w:header="709" w:footer="709" w:gutter="0"/>
          <w:cols w:num="2" w:space="397"/>
          <w:docGrid w:linePitch="360"/>
        </w:sectPr>
      </w:pPr>
    </w:p>
    <w:p w:rsidR="00D751CB" w:rsidRPr="00E62694" w:rsidRDefault="00D751CB" w:rsidP="0033216C">
      <w:pPr>
        <w:pStyle w:val="SRtitulek1"/>
      </w:pPr>
      <w:bookmarkStart w:id="41" w:name="_Toc115424511"/>
      <w:bookmarkStart w:id="42" w:name="_Toc175914444"/>
      <w:r w:rsidRPr="00E62694">
        <w:t xml:space="preserve">Tabulka </w:t>
      </w:r>
      <w:fldSimple w:instr=" SEQ Tabulka \* ARABIC ">
        <w:r w:rsidR="001773BF">
          <w:rPr>
            <w:noProof/>
          </w:rPr>
          <w:t>4</w:t>
        </w:r>
      </w:fldSimple>
      <w:r w:rsidRPr="00E62694">
        <w:t xml:space="preserve"> Srovnání makroekonomických predikcí</w:t>
      </w:r>
      <w:bookmarkEnd w:id="41"/>
      <w:bookmarkEnd w:id="42"/>
    </w:p>
    <w:p w:rsidR="00E8085D" w:rsidRPr="00E62694" w:rsidRDefault="00F323FF" w:rsidP="00E8085D">
      <w:pPr>
        <w:spacing w:after="0"/>
      </w:pPr>
      <w:r w:rsidRPr="00F323FF">
        <w:rPr>
          <w:noProof/>
          <w:lang w:val="en-US" w:eastAsia="en-US"/>
        </w:rPr>
        <w:drawing>
          <wp:inline distT="0" distB="0" distL="0" distR="0">
            <wp:extent cx="6120130" cy="1111887"/>
            <wp:effectExtent l="0" t="0" r="0" b="0"/>
            <wp:docPr id="68" name="Obrázek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20130" cy="1111887"/>
                    </a:xfrm>
                    <a:prstGeom prst="rect">
                      <a:avLst/>
                    </a:prstGeom>
                    <a:noFill/>
                    <a:ln>
                      <a:noFill/>
                    </a:ln>
                  </pic:spPr>
                </pic:pic>
              </a:graphicData>
            </a:graphic>
          </wp:inline>
        </w:drawing>
      </w:r>
    </w:p>
    <w:p w:rsidR="00E8085D" w:rsidRPr="00E62694" w:rsidRDefault="00E8085D" w:rsidP="00E8085D">
      <w:pPr>
        <w:rPr>
          <w:i/>
        </w:rPr>
      </w:pPr>
      <w:r w:rsidRPr="00E62694">
        <w:rPr>
          <w:i/>
        </w:rPr>
        <w:t>Zdroj: MF ČR: Makroekonomická predikce ČR. Výpočty a predikce MF ČR.</w:t>
      </w:r>
    </w:p>
    <w:p w:rsidR="00D751CB" w:rsidRPr="00E62694" w:rsidRDefault="00D751CB" w:rsidP="0033216C">
      <w:pPr>
        <w:pStyle w:val="SRtitulek1"/>
      </w:pPr>
      <w:bookmarkStart w:id="43" w:name="_Toc115424512"/>
      <w:bookmarkStart w:id="44" w:name="_Toc175914445"/>
      <w:r w:rsidRPr="00E62694">
        <w:t xml:space="preserve">Tabulka </w:t>
      </w:r>
      <w:fldSimple w:instr=" SEQ Tabulka \* ARABIC ">
        <w:r w:rsidR="001773BF">
          <w:rPr>
            <w:noProof/>
          </w:rPr>
          <w:t>5</w:t>
        </w:r>
      </w:fldSimple>
      <w:r w:rsidRPr="00E62694">
        <w:t xml:space="preserve"> Souhrn změn výdajových rámců na roky 202</w:t>
      </w:r>
      <w:r w:rsidR="00E62694" w:rsidRPr="00E62694">
        <w:t>5</w:t>
      </w:r>
      <w:r w:rsidRPr="00E62694">
        <w:t xml:space="preserve"> až 202</w:t>
      </w:r>
      <w:r w:rsidR="00E62694" w:rsidRPr="00E62694">
        <w:t>7</w:t>
      </w:r>
      <w:r w:rsidRPr="00E62694">
        <w:t xml:space="preserve"> </w:t>
      </w:r>
      <w:r w:rsidRPr="00E62694">
        <w:rPr>
          <w:i/>
        </w:rPr>
        <w:t>(v mld. Kč)</w:t>
      </w:r>
      <w:bookmarkEnd w:id="43"/>
      <w:bookmarkEnd w:id="44"/>
    </w:p>
    <w:p w:rsidR="00E8085D" w:rsidRPr="00E62694" w:rsidRDefault="00F323FF" w:rsidP="00E8085D">
      <w:pPr>
        <w:spacing w:after="0"/>
      </w:pPr>
      <w:r w:rsidRPr="00F323FF">
        <w:rPr>
          <w:noProof/>
          <w:lang w:val="en-US" w:eastAsia="en-US"/>
        </w:rPr>
        <w:drawing>
          <wp:inline distT="0" distB="0" distL="0" distR="0">
            <wp:extent cx="6120130" cy="1501523"/>
            <wp:effectExtent l="0" t="0" r="0" b="3810"/>
            <wp:docPr id="69" name="Obrázek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120130" cy="1501523"/>
                    </a:xfrm>
                    <a:prstGeom prst="rect">
                      <a:avLst/>
                    </a:prstGeom>
                    <a:noFill/>
                    <a:ln>
                      <a:noFill/>
                    </a:ln>
                  </pic:spPr>
                </pic:pic>
              </a:graphicData>
            </a:graphic>
          </wp:inline>
        </w:drawing>
      </w:r>
    </w:p>
    <w:p w:rsidR="00E8085D" w:rsidRPr="00E62694" w:rsidRDefault="00E8085D" w:rsidP="00E8085D">
      <w:pPr>
        <w:spacing w:after="0"/>
        <w:rPr>
          <w:i/>
        </w:rPr>
      </w:pPr>
      <w:r w:rsidRPr="00E62694">
        <w:rPr>
          <w:i/>
        </w:rPr>
        <w:t>Poznámka: *) Mimo příjmy z EU a finančních mechanismů.</w:t>
      </w:r>
    </w:p>
    <w:p w:rsidR="00523C74" w:rsidRDefault="00E8085D" w:rsidP="00E8085D">
      <w:pPr>
        <w:spacing w:after="0"/>
        <w:rPr>
          <w:i/>
        </w:rPr>
      </w:pPr>
      <w:r w:rsidRPr="00E62694">
        <w:rPr>
          <w:i/>
        </w:rPr>
        <w:t>Zdroj: Usnesení vlády ČR č. 2</w:t>
      </w:r>
      <w:r w:rsidR="00E62694" w:rsidRPr="00E62694">
        <w:rPr>
          <w:i/>
        </w:rPr>
        <w:t>67</w:t>
      </w:r>
      <w:r w:rsidRPr="00E62694">
        <w:rPr>
          <w:i/>
        </w:rPr>
        <w:t>/202</w:t>
      </w:r>
      <w:r w:rsidR="00E62694" w:rsidRPr="00E62694">
        <w:rPr>
          <w:i/>
        </w:rPr>
        <w:t>4</w:t>
      </w:r>
      <w:r w:rsidRPr="00E62694">
        <w:rPr>
          <w:i/>
        </w:rPr>
        <w:t>. Výpočty a predikce MF ČR</w:t>
      </w:r>
    </w:p>
    <w:p w:rsidR="00251474" w:rsidRDefault="00251474" w:rsidP="00523C74">
      <w:pPr>
        <w:sectPr w:rsidR="00251474" w:rsidSect="00251474">
          <w:type w:val="continuous"/>
          <w:pgSz w:w="11906" w:h="16838" w:code="9"/>
          <w:pgMar w:top="1134" w:right="1134" w:bottom="1418" w:left="1134" w:header="709" w:footer="709" w:gutter="0"/>
          <w:cols w:space="397"/>
          <w:docGrid w:linePitch="360"/>
        </w:sectPr>
      </w:pPr>
    </w:p>
    <w:p w:rsidR="00523C74" w:rsidRDefault="00523C74" w:rsidP="00523C74"/>
    <w:p w:rsidR="00523C74" w:rsidRDefault="00523C74" w:rsidP="00523C74">
      <w:pPr>
        <w:spacing w:after="0"/>
        <w:jc w:val="left"/>
        <w:sectPr w:rsidR="00523C74" w:rsidSect="00AB13CE">
          <w:type w:val="continuous"/>
          <w:pgSz w:w="11906" w:h="16838" w:code="9"/>
          <w:pgMar w:top="1134" w:right="1134" w:bottom="1418" w:left="1134" w:header="709" w:footer="709" w:gutter="0"/>
          <w:cols w:num="2" w:space="397"/>
          <w:docGrid w:linePitch="360"/>
        </w:sectPr>
      </w:pPr>
    </w:p>
    <w:p w:rsidR="000A41C3" w:rsidRDefault="000A41C3">
      <w:pPr>
        <w:spacing w:after="200" w:line="276" w:lineRule="auto"/>
        <w:jc w:val="left"/>
      </w:pPr>
      <w:r>
        <w:br w:type="page"/>
      </w:r>
    </w:p>
    <w:p w:rsidR="00E11515" w:rsidRPr="00E11515" w:rsidRDefault="00E11515" w:rsidP="00037618">
      <w:pPr>
        <w:pStyle w:val="Nadpis1"/>
        <w:tabs>
          <w:tab w:val="clear" w:pos="6663"/>
          <w:tab w:val="num" w:pos="567"/>
        </w:tabs>
        <w:ind w:left="567"/>
      </w:pPr>
      <w:bookmarkStart w:id="45" w:name="_Toc52369399"/>
      <w:bookmarkStart w:id="46" w:name="_Toc112771409"/>
      <w:bookmarkStart w:id="47" w:name="_Toc145662049"/>
      <w:bookmarkStart w:id="48" w:name="_Toc175914416"/>
      <w:r w:rsidRPr="00E11515">
        <w:lastRenderedPageBreak/>
        <w:t>Základní ukazatele státního rozpočtu ve střednědobém výhledu</w:t>
      </w:r>
      <w:bookmarkEnd w:id="45"/>
      <w:bookmarkEnd w:id="46"/>
      <w:bookmarkEnd w:id="47"/>
      <w:bookmarkEnd w:id="48"/>
    </w:p>
    <w:p w:rsidR="00E11515" w:rsidRPr="00E11515" w:rsidRDefault="00E11515" w:rsidP="00E11515">
      <w:pPr>
        <w:pStyle w:val="Nadpis2"/>
      </w:pPr>
      <w:bookmarkStart w:id="49" w:name="_Toc52369400"/>
      <w:bookmarkStart w:id="50" w:name="_Toc112771410"/>
      <w:bookmarkStart w:id="51" w:name="_Toc145662050"/>
      <w:bookmarkStart w:id="52" w:name="_Toc175914417"/>
      <w:r w:rsidRPr="00E11515">
        <w:t>Východiska zpracování střednědobého výhledu</w:t>
      </w:r>
      <w:bookmarkEnd w:id="49"/>
      <w:bookmarkEnd w:id="50"/>
      <w:bookmarkEnd w:id="51"/>
      <w:bookmarkEnd w:id="52"/>
    </w:p>
    <w:p w:rsidR="00E11515" w:rsidRPr="00E11515" w:rsidRDefault="00E11515" w:rsidP="00E11515">
      <w:pPr>
        <w:numPr>
          <w:ilvl w:val="0"/>
          <w:numId w:val="5"/>
        </w:numPr>
        <w:tabs>
          <w:tab w:val="num" w:pos="540"/>
        </w:tabs>
        <w:spacing w:after="0" w:line="360" w:lineRule="auto"/>
        <w:ind w:left="540" w:hanging="540"/>
        <w:sectPr w:rsidR="00E11515" w:rsidRPr="00E11515" w:rsidSect="00576069">
          <w:type w:val="continuous"/>
          <w:pgSz w:w="11906" w:h="16838" w:code="9"/>
          <w:pgMar w:top="1134" w:right="1134" w:bottom="1418" w:left="1134" w:header="709" w:footer="709" w:gutter="0"/>
          <w:cols w:space="709"/>
          <w:docGrid w:linePitch="360"/>
        </w:sectPr>
      </w:pPr>
    </w:p>
    <w:p w:rsidR="00E11515" w:rsidRPr="00E11515" w:rsidRDefault="00E11515" w:rsidP="00E11515">
      <w:pPr>
        <w:ind w:left="284" w:hanging="284"/>
      </w:pPr>
      <w:r w:rsidRPr="00E11515">
        <w:t>Programové prohlášení vlády České republiky;</w:t>
      </w:r>
    </w:p>
    <w:p w:rsidR="00E11515" w:rsidRPr="00E11515" w:rsidRDefault="00E11515" w:rsidP="00E11515">
      <w:r w:rsidRPr="00E11515">
        <w:t>Střednědobý výhled státního rozpočtu České republiky na léta 202</w:t>
      </w:r>
      <w:r w:rsidR="00B673C6">
        <w:t>5</w:t>
      </w:r>
      <w:r w:rsidRPr="00E11515">
        <w:t xml:space="preserve"> a 202</w:t>
      </w:r>
      <w:r w:rsidR="00B673C6">
        <w:t>6</w:t>
      </w:r>
      <w:r w:rsidRPr="00E11515">
        <w:t xml:space="preserve"> schválený usnesením vlády České republiky č. </w:t>
      </w:r>
      <w:r w:rsidR="00B673C6">
        <w:t>703</w:t>
      </w:r>
      <w:r w:rsidRPr="00E11515">
        <w:t xml:space="preserve"> ze dne 2</w:t>
      </w:r>
      <w:r w:rsidR="00B673C6">
        <w:t>7</w:t>
      </w:r>
      <w:r w:rsidRPr="00E11515">
        <w:t>. září 202</w:t>
      </w:r>
      <w:r w:rsidR="00B673C6">
        <w:t>3</w:t>
      </w:r>
      <w:r w:rsidRPr="00E11515">
        <w:t>;</w:t>
      </w:r>
    </w:p>
    <w:p w:rsidR="00E11515" w:rsidRPr="00E11515" w:rsidRDefault="00E11515" w:rsidP="00E11515">
      <w:r w:rsidRPr="00E11515">
        <w:t>Makroekonomická predikce České republiky do roku 202</w:t>
      </w:r>
      <w:r w:rsidR="005D11F8">
        <w:t>7</w:t>
      </w:r>
      <w:r w:rsidRPr="00E11515">
        <w:t xml:space="preserve"> (zpracovaná Ministerstvem financí v srpnu 202</w:t>
      </w:r>
      <w:r w:rsidR="00B673C6">
        <w:t>4</w:t>
      </w:r>
      <w:r w:rsidRPr="00E11515">
        <w:t>);</w:t>
      </w:r>
    </w:p>
    <w:p w:rsidR="00E11515" w:rsidRPr="00E718F6" w:rsidRDefault="00E11515" w:rsidP="00E11515">
      <w:r w:rsidRPr="00E11515">
        <w:t>Rozpočtová strategie sektoru veřejných institucí Č</w:t>
      </w:r>
      <w:r w:rsidR="006E420E">
        <w:t xml:space="preserve">R </w:t>
      </w:r>
      <w:r w:rsidRPr="00E718F6">
        <w:t>na</w:t>
      </w:r>
      <w:r w:rsidR="006E420E">
        <w:t> </w:t>
      </w:r>
      <w:r w:rsidRPr="00E718F6">
        <w:t>léta 202</w:t>
      </w:r>
      <w:r w:rsidR="00B673C6">
        <w:t>5</w:t>
      </w:r>
      <w:r w:rsidRPr="00E718F6">
        <w:t>-202</w:t>
      </w:r>
      <w:r w:rsidR="00B673C6">
        <w:t>7</w:t>
      </w:r>
      <w:r w:rsidRPr="00E718F6">
        <w:t xml:space="preserve"> a Konvergenční program Č</w:t>
      </w:r>
      <w:r w:rsidR="002D7ABC">
        <w:t>R</w:t>
      </w:r>
      <w:r w:rsidR="00933957">
        <w:t>;</w:t>
      </w:r>
      <w:r w:rsidRPr="00E718F6">
        <w:t xml:space="preserve"> </w:t>
      </w:r>
      <w:r w:rsidR="002D7ABC">
        <w:t xml:space="preserve">oboje bylo </w:t>
      </w:r>
      <w:r w:rsidR="00A06118">
        <w:t xml:space="preserve">schváleno </w:t>
      </w:r>
      <w:r w:rsidRPr="00E718F6">
        <w:t xml:space="preserve">usnesením </w:t>
      </w:r>
      <w:r w:rsidRPr="00A06118">
        <w:t>vlády č.</w:t>
      </w:r>
      <w:r w:rsidR="00943C09" w:rsidRPr="00A06118">
        <w:t> </w:t>
      </w:r>
      <w:r w:rsidRPr="00A06118">
        <w:t>2</w:t>
      </w:r>
      <w:r w:rsidR="00A06118" w:rsidRPr="00A06118">
        <w:t>6</w:t>
      </w:r>
      <w:r w:rsidRPr="00A06118">
        <w:t>7 ze dne 2</w:t>
      </w:r>
      <w:r w:rsidR="00A06118" w:rsidRPr="00A06118">
        <w:t>4</w:t>
      </w:r>
      <w:r w:rsidRPr="00A06118">
        <w:t>.</w:t>
      </w:r>
      <w:r w:rsidR="00943C09" w:rsidRPr="00A06118">
        <w:t> </w:t>
      </w:r>
      <w:r w:rsidRPr="00A06118">
        <w:t>dubna 202</w:t>
      </w:r>
      <w:r w:rsidR="00B673C6" w:rsidRPr="00A06118">
        <w:t>4</w:t>
      </w:r>
      <w:r w:rsidRPr="00A06118">
        <w:t>;</w:t>
      </w:r>
    </w:p>
    <w:p w:rsidR="00E11515" w:rsidRPr="00E718F6" w:rsidRDefault="00E11515" w:rsidP="00E11515">
      <w:r w:rsidRPr="00E718F6">
        <w:t>Aktuální vývoj hospodaření státního rozpočtu v roce 202</w:t>
      </w:r>
      <w:r w:rsidR="00B673C6">
        <w:t>4</w:t>
      </w:r>
      <w:r w:rsidRPr="00E718F6">
        <w:t xml:space="preserve"> a skutečné plnění státního rozpočtu za rok 202</w:t>
      </w:r>
      <w:r w:rsidR="00B673C6">
        <w:t>3</w:t>
      </w:r>
      <w:r w:rsidRPr="00E718F6">
        <w:t>.</w:t>
      </w:r>
    </w:p>
    <w:p w:rsidR="00E11515" w:rsidRPr="00E718F6" w:rsidRDefault="00E11515" w:rsidP="00E11515">
      <w:pPr>
        <w:spacing w:before="120"/>
      </w:pPr>
      <w:r w:rsidRPr="00E718F6">
        <w:t>Souhrnnou bilanci základních ukazatelů státního rozpočtu v letech 2019 - 202</w:t>
      </w:r>
      <w:r w:rsidR="00B673C6">
        <w:t>7</w:t>
      </w:r>
      <w:r w:rsidRPr="00E718F6">
        <w:t xml:space="preserve"> ukazuje následující tabulka.</w:t>
      </w:r>
    </w:p>
    <w:p w:rsidR="00E11515" w:rsidRPr="00E718F6" w:rsidRDefault="00E11515" w:rsidP="00E11515">
      <w:pPr>
        <w:sectPr w:rsidR="00E11515" w:rsidRPr="00E718F6" w:rsidSect="00576069">
          <w:type w:val="continuous"/>
          <w:pgSz w:w="11906" w:h="16838" w:code="9"/>
          <w:pgMar w:top="1134" w:right="1134" w:bottom="1418" w:left="1134" w:header="709" w:footer="709" w:gutter="0"/>
          <w:cols w:num="2" w:space="397"/>
          <w:docGrid w:linePitch="360"/>
        </w:sectPr>
      </w:pPr>
    </w:p>
    <w:p w:rsidR="00E11515" w:rsidRPr="00E718F6" w:rsidRDefault="00E11515" w:rsidP="0033216C">
      <w:pPr>
        <w:pStyle w:val="SRtitulek1"/>
        <w:rPr>
          <w:i/>
        </w:rPr>
      </w:pPr>
      <w:bookmarkStart w:id="53" w:name="_Toc145661997"/>
      <w:bookmarkStart w:id="54" w:name="_Toc175914446"/>
      <w:r w:rsidRPr="00E718F6">
        <w:t xml:space="preserve">Tabulka </w:t>
      </w:r>
      <w:fldSimple w:instr=" SEQ Tabulka \* ARABIC ">
        <w:r w:rsidR="001773BF">
          <w:rPr>
            <w:noProof/>
          </w:rPr>
          <w:t>6</w:t>
        </w:r>
      </w:fldSimple>
      <w:r w:rsidRPr="00E718F6">
        <w:t xml:space="preserve"> Celkové příjmy, celkové výdaje a saldo státního rozpočtu v letech 2019 – 202</w:t>
      </w:r>
      <w:r w:rsidR="00B673C6">
        <w:t>7</w:t>
      </w:r>
      <w:r w:rsidRPr="00E718F6">
        <w:t xml:space="preserve"> </w:t>
      </w:r>
      <w:r w:rsidRPr="00E718F6">
        <w:rPr>
          <w:i/>
        </w:rPr>
        <w:t>(v mld. Kč)</w:t>
      </w:r>
      <w:bookmarkEnd w:id="53"/>
      <w:bookmarkEnd w:id="54"/>
    </w:p>
    <w:p w:rsidR="00E11515" w:rsidRPr="00E11515" w:rsidRDefault="00B673C6" w:rsidP="00E11515">
      <w:pPr>
        <w:rPr>
          <w:i/>
        </w:rPr>
      </w:pPr>
      <w:r w:rsidRPr="00B673C6">
        <w:rPr>
          <w:noProof/>
          <w:lang w:val="en-US" w:eastAsia="en-US"/>
        </w:rPr>
        <w:drawing>
          <wp:inline distT="0" distB="0" distL="0" distR="0">
            <wp:extent cx="6120130" cy="1295389"/>
            <wp:effectExtent l="0" t="0" r="0" b="635"/>
            <wp:docPr id="12" name="Obráze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120130" cy="1295389"/>
                    </a:xfrm>
                    <a:prstGeom prst="rect">
                      <a:avLst/>
                    </a:prstGeom>
                    <a:noFill/>
                    <a:ln>
                      <a:noFill/>
                    </a:ln>
                  </pic:spPr>
                </pic:pic>
              </a:graphicData>
            </a:graphic>
          </wp:inline>
        </w:drawing>
      </w:r>
      <w:r w:rsidR="00E11515" w:rsidRPr="00E11515">
        <w:rPr>
          <w:i/>
        </w:rPr>
        <w:t>Poznámka: příjmy a výdaje bez EU a FM a v kapitole Ministerstvo zemědělství bez účetních operací v rámci PRV.</w:t>
      </w:r>
    </w:p>
    <w:p w:rsidR="00E11515" w:rsidRPr="00E11515" w:rsidRDefault="00E11515" w:rsidP="00E11515">
      <w:pPr>
        <w:pStyle w:val="Nadpis2"/>
      </w:pPr>
      <w:bookmarkStart w:id="55" w:name="_Toc52369401"/>
      <w:bookmarkStart w:id="56" w:name="_Toc112771411"/>
      <w:bookmarkStart w:id="57" w:name="_Toc145662051"/>
      <w:bookmarkStart w:id="58" w:name="_Toc175914418"/>
      <w:r w:rsidRPr="00E11515">
        <w:t>P</w:t>
      </w:r>
      <w:bookmarkEnd w:id="55"/>
      <w:bookmarkEnd w:id="56"/>
      <w:bookmarkEnd w:id="57"/>
      <w:r w:rsidR="00BE1EE7">
        <w:t>říjmy státního rozpočtu</w:t>
      </w:r>
      <w:bookmarkEnd w:id="58"/>
    </w:p>
    <w:p w:rsidR="00E11515" w:rsidRPr="00E718F6" w:rsidRDefault="00E11515" w:rsidP="0033216C">
      <w:pPr>
        <w:pStyle w:val="SRtitulek1"/>
      </w:pPr>
      <w:bookmarkStart w:id="59" w:name="_Toc145661998"/>
      <w:bookmarkStart w:id="60" w:name="_Toc175914447"/>
      <w:r w:rsidRPr="00EE31A5">
        <w:t xml:space="preserve">Tabulka </w:t>
      </w:r>
      <w:fldSimple w:instr=" SEQ Tabulka \* ARABIC ">
        <w:r w:rsidR="001773BF">
          <w:rPr>
            <w:noProof/>
          </w:rPr>
          <w:t>7</w:t>
        </w:r>
      </w:fldSimple>
      <w:r w:rsidRPr="00EE31A5">
        <w:t xml:space="preserve"> Vývoj příjmů státního rozpočtu v letech 2019 – 202</w:t>
      </w:r>
      <w:r w:rsidR="00F60E03" w:rsidRPr="00EE31A5">
        <w:t>7</w:t>
      </w:r>
      <w:r w:rsidRPr="00EE31A5">
        <w:t xml:space="preserve"> </w:t>
      </w:r>
      <w:r w:rsidRPr="00EE31A5">
        <w:rPr>
          <w:i/>
        </w:rPr>
        <w:t>(v mld. Kč)</w:t>
      </w:r>
      <w:bookmarkEnd w:id="59"/>
      <w:bookmarkEnd w:id="60"/>
    </w:p>
    <w:p w:rsidR="000A4628" w:rsidRDefault="008F4097" w:rsidP="000A4628">
      <w:pPr>
        <w:contextualSpacing/>
        <w:rPr>
          <w:i/>
        </w:rPr>
      </w:pPr>
      <w:r w:rsidRPr="008F4097">
        <w:rPr>
          <w:noProof/>
          <w:lang w:val="en-US" w:eastAsia="en-US"/>
        </w:rPr>
        <w:drawing>
          <wp:inline distT="0" distB="0" distL="0" distR="0">
            <wp:extent cx="6120130" cy="1369494"/>
            <wp:effectExtent l="0" t="0" r="0" b="2540"/>
            <wp:docPr id="38" name="Obrázek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6120130" cy="1369494"/>
                    </a:xfrm>
                    <a:prstGeom prst="rect">
                      <a:avLst/>
                    </a:prstGeom>
                    <a:noFill/>
                    <a:ln>
                      <a:noFill/>
                    </a:ln>
                  </pic:spPr>
                </pic:pic>
              </a:graphicData>
            </a:graphic>
          </wp:inline>
        </w:drawing>
      </w:r>
      <w:r w:rsidR="00E11515" w:rsidRPr="00E718F6">
        <w:rPr>
          <w:i/>
        </w:rPr>
        <w:t>Poznámka: příjmy bez EU a FM a v kapitole Ministerstvo zemědělství bez účetních operací v rámci PRV.</w:t>
      </w:r>
    </w:p>
    <w:p w:rsidR="00E11515" w:rsidRPr="00E11515" w:rsidRDefault="000A4628" w:rsidP="000A4628">
      <w:pPr>
        <w:contextualSpacing/>
        <w:rPr>
          <w:i/>
        </w:rPr>
      </w:pPr>
      <w:r>
        <w:rPr>
          <w:i/>
        </w:rPr>
        <w:t>R</w:t>
      </w:r>
      <w:r w:rsidR="00EE31A5">
        <w:rPr>
          <w:i/>
        </w:rPr>
        <w:t>ozdíl v součtu vyplývá z dílčích zaokrouhlení</w:t>
      </w:r>
      <w:r w:rsidR="00B21B6E">
        <w:rPr>
          <w:i/>
        </w:rPr>
        <w:t xml:space="preserve"> na jedno desetinné místo</w:t>
      </w:r>
      <w:r w:rsidR="00EE31A5">
        <w:rPr>
          <w:i/>
        </w:rPr>
        <w:t>.</w:t>
      </w:r>
    </w:p>
    <w:p w:rsidR="00E11515" w:rsidRPr="00D667F7" w:rsidRDefault="00E11515" w:rsidP="00E11515">
      <w:pPr>
        <w:pStyle w:val="Nadpis3"/>
      </w:pPr>
      <w:bookmarkStart w:id="61" w:name="_Toc52369402"/>
      <w:bookmarkStart w:id="62" w:name="_Toc112771412"/>
      <w:bookmarkStart w:id="63" w:name="_Toc145662052"/>
      <w:r w:rsidRPr="00D667F7">
        <w:t>Daňové příjmy státního rozpočtu</w:t>
      </w:r>
      <w:bookmarkEnd w:id="61"/>
      <w:bookmarkEnd w:id="62"/>
      <w:bookmarkEnd w:id="63"/>
    </w:p>
    <w:p w:rsidR="00E11515" w:rsidRPr="00EE31A5" w:rsidRDefault="00E11515" w:rsidP="00E1443D">
      <w:pPr>
        <w:pStyle w:val="SRNadpis4"/>
        <w:numPr>
          <w:ilvl w:val="3"/>
          <w:numId w:val="1"/>
        </w:numPr>
      </w:pPr>
      <w:r w:rsidRPr="00EE31A5">
        <w:t>Vývoj daňové kvóty</w:t>
      </w:r>
    </w:p>
    <w:p w:rsidR="00E11515" w:rsidRPr="00E11515" w:rsidRDefault="00E11515" w:rsidP="00E11515">
      <w:pPr>
        <w:sectPr w:rsidR="00E11515" w:rsidRPr="00E11515" w:rsidSect="00576069">
          <w:type w:val="continuous"/>
          <w:pgSz w:w="11906" w:h="16838" w:code="9"/>
          <w:pgMar w:top="1134" w:right="1134" w:bottom="1418" w:left="1134" w:header="709" w:footer="709" w:gutter="0"/>
          <w:cols w:space="709"/>
          <w:docGrid w:linePitch="360"/>
        </w:sectPr>
      </w:pPr>
    </w:p>
    <w:p w:rsidR="002118B0" w:rsidRPr="003E795F" w:rsidRDefault="002118B0" w:rsidP="001D4D21">
      <w:pPr>
        <w:pStyle w:val="SRTextnomal"/>
      </w:pPr>
      <w:r w:rsidRPr="003E795F">
        <w:t>Oproti předchozím letům do</w:t>
      </w:r>
      <w:r w:rsidR="003E795F" w:rsidRPr="003E795F">
        <w:t>šlo v loňském roce</w:t>
      </w:r>
      <w:r w:rsidRPr="003E795F">
        <w:t xml:space="preserve"> ke změně metodiky, na základě které je daňová kvóta vyjádřena. Ve</w:t>
      </w:r>
      <w:r w:rsidR="003E795F">
        <w:t> </w:t>
      </w:r>
      <w:r w:rsidRPr="003E795F">
        <w:t xml:space="preserve">zprávě k návrhu rozpočtu na příslušný rok </w:t>
      </w:r>
      <w:r w:rsidR="002B0E01" w:rsidRPr="003E795F">
        <w:t>a rovněž ve</w:t>
      </w:r>
      <w:r w:rsidR="003E795F">
        <w:t> </w:t>
      </w:r>
      <w:r w:rsidR="002B0E01" w:rsidRPr="003E795F">
        <w:t xml:space="preserve">střednědobém výhledu </w:t>
      </w:r>
      <w:r w:rsidRPr="003E795F">
        <w:t>byla doposud používána metodika podle rozpočtové skladby, která je založena na hotovostním přístupu.</w:t>
      </w:r>
    </w:p>
    <w:p w:rsidR="00E11515" w:rsidRDefault="003E795F" w:rsidP="001D4D21">
      <w:pPr>
        <w:pStyle w:val="SRTextnomal"/>
      </w:pPr>
      <w:r w:rsidRPr="003E795F">
        <w:t>D</w:t>
      </w:r>
      <w:r w:rsidR="002118B0" w:rsidRPr="003E795F">
        <w:t xml:space="preserve">aňová kvóta, tedy poměr příjmů z daní a veřejných pojistných systémů vůči nominálnímu HDP, uvedená </w:t>
      </w:r>
      <w:r w:rsidR="002118B0" w:rsidRPr="003E795F">
        <w:t>v</w:t>
      </w:r>
      <w:r w:rsidRPr="003E795F">
        <w:t> </w:t>
      </w:r>
      <w:r w:rsidR="002118B0" w:rsidRPr="003E795F">
        <w:t>tomto dokumentu</w:t>
      </w:r>
      <w:r w:rsidR="00933957">
        <w:t>,</w:t>
      </w:r>
      <w:r w:rsidR="002118B0" w:rsidRPr="003E795F">
        <w:t xml:space="preserve"> </w:t>
      </w:r>
      <w:r w:rsidRPr="003E795F">
        <w:t xml:space="preserve">je </w:t>
      </w:r>
      <w:r w:rsidR="002118B0" w:rsidRPr="003E795F">
        <w:t xml:space="preserve">vyjádřena akruálně. Definice daňových příjmů a HDP je opřena o metodiku Evropského systému národních a regionálních účtů z roku 2010. Tím je zajištěna konzistence mezi oběma ukazateli a nedochází ke zkreslení, jaké by například nastalo při poměřování hotovostního inkasa či omezení se pouze na příjmy státního rozpočtu. Příjmy proto zahrnují akruální daňové výnosy včetně povinných odvodů na sociální a zdravotní </w:t>
      </w:r>
      <w:r w:rsidR="002118B0" w:rsidRPr="003E795F">
        <w:lastRenderedPageBreak/>
        <w:t xml:space="preserve">pojištění či dalších plateb, jakými jsou poplatky za obnovitelné zdroje energie, emisní povolenky nebo poplatky za televizní a rozhlasové vysílání. Akruální princip zajišťuje, že příjmy jsou evidovány v době, kdy nastala příslušná ekonomická skutečnost, která zavdala příčinu zdanění, tedy nikoli v okamžiku, kdy jsou peněžní prostředky </w:t>
      </w:r>
      <w:r w:rsidR="002118B0" w:rsidRPr="003E795F">
        <w:t xml:space="preserve">přijaty na účet (takto poměřuje příjem metodika hotovostních toků). Taková daňová kvóta je nejenom nejkomplexnějším ukazatelem daňového zatížení, ale také mezinárodně srovnatelná </w:t>
      </w:r>
      <w:r w:rsidR="00426462" w:rsidRPr="003E795F">
        <w:t xml:space="preserve">a </w:t>
      </w:r>
      <w:r w:rsidR="002118B0" w:rsidRPr="003E795F">
        <w:t>jednotně metodicky interpretovatelná.</w:t>
      </w:r>
      <w:r w:rsidR="00C607CA" w:rsidRPr="003E795F">
        <w:t xml:space="preserve"> </w:t>
      </w:r>
      <w:r w:rsidR="0094110D" w:rsidRPr="003E795F">
        <w:t>V letech střednědobého výhledu očekáváme daňovou kvótu konstantní</w:t>
      </w:r>
      <w:r w:rsidR="00C607CA" w:rsidRPr="003E795F">
        <w:t>.</w:t>
      </w:r>
    </w:p>
    <w:p w:rsidR="00B029A2" w:rsidRPr="00C607CA" w:rsidRDefault="00B029A2" w:rsidP="00C607CA">
      <w:pPr>
        <w:spacing w:before="120"/>
        <w:sectPr w:rsidR="00B029A2" w:rsidRPr="00C607CA" w:rsidSect="00576069">
          <w:type w:val="continuous"/>
          <w:pgSz w:w="11906" w:h="16838" w:code="9"/>
          <w:pgMar w:top="1134" w:right="1134" w:bottom="1418" w:left="1134" w:header="709" w:footer="709" w:gutter="0"/>
          <w:cols w:num="2" w:space="397"/>
          <w:docGrid w:linePitch="360"/>
        </w:sectPr>
      </w:pPr>
    </w:p>
    <w:p w:rsidR="00E11515" w:rsidRPr="00DD59DC" w:rsidRDefault="00E11515" w:rsidP="0033216C">
      <w:pPr>
        <w:pStyle w:val="SRtitulek1"/>
      </w:pPr>
      <w:bookmarkStart w:id="64" w:name="_Toc145661999"/>
      <w:bookmarkStart w:id="65" w:name="_Toc175914448"/>
      <w:r w:rsidRPr="00BB3E2D">
        <w:t xml:space="preserve">Tabulka </w:t>
      </w:r>
      <w:fldSimple w:instr=" SEQ Tabulka \* ARABIC ">
        <w:r w:rsidR="001773BF">
          <w:rPr>
            <w:noProof/>
          </w:rPr>
          <w:t>8</w:t>
        </w:r>
      </w:fldSimple>
      <w:r w:rsidRPr="00BB3E2D">
        <w:t xml:space="preserve"> Vývoj daňové kvóty dle rozpočtové skladby v ČR v letech 201</w:t>
      </w:r>
      <w:r w:rsidR="008B0905" w:rsidRPr="00BB3E2D">
        <w:t>9</w:t>
      </w:r>
      <w:r w:rsidRPr="00BB3E2D">
        <w:t xml:space="preserve"> – 202</w:t>
      </w:r>
      <w:r w:rsidR="00672775" w:rsidRPr="00BB3E2D">
        <w:t>7</w:t>
      </w:r>
      <w:r w:rsidRPr="00BB3E2D">
        <w:t xml:space="preserve"> </w:t>
      </w:r>
      <w:r w:rsidRPr="00BB3E2D">
        <w:rPr>
          <w:i/>
        </w:rPr>
        <w:t>(v %)</w:t>
      </w:r>
      <w:bookmarkEnd w:id="64"/>
      <w:bookmarkEnd w:id="65"/>
    </w:p>
    <w:p w:rsidR="00E11515" w:rsidRPr="00E11515" w:rsidRDefault="00C47AE3" w:rsidP="00E11515">
      <w:r w:rsidRPr="00C47AE3">
        <w:rPr>
          <w:noProof/>
          <w:lang w:val="en-US" w:eastAsia="en-US"/>
        </w:rPr>
        <w:drawing>
          <wp:inline distT="0" distB="0" distL="0" distR="0">
            <wp:extent cx="5591175" cy="752475"/>
            <wp:effectExtent l="0" t="0" r="9525" b="9525"/>
            <wp:docPr id="15" name="Obráze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591175" cy="752475"/>
                    </a:xfrm>
                    <a:prstGeom prst="rect">
                      <a:avLst/>
                    </a:prstGeom>
                    <a:noFill/>
                    <a:ln>
                      <a:noFill/>
                    </a:ln>
                  </pic:spPr>
                </pic:pic>
              </a:graphicData>
            </a:graphic>
          </wp:inline>
        </w:drawing>
      </w:r>
    </w:p>
    <w:p w:rsidR="00E11515" w:rsidRPr="00E1443D" w:rsidRDefault="00E11515" w:rsidP="00E1443D">
      <w:pPr>
        <w:pStyle w:val="SRNadpis4"/>
        <w:numPr>
          <w:ilvl w:val="3"/>
          <w:numId w:val="1"/>
        </w:numPr>
      </w:pPr>
      <w:r w:rsidRPr="00E1443D">
        <w:t>Daňové příjmy podle jednotlivých daní</w:t>
      </w:r>
    </w:p>
    <w:p w:rsidR="00E11515" w:rsidRPr="00E718F6" w:rsidRDefault="00E11515" w:rsidP="0033216C">
      <w:pPr>
        <w:pStyle w:val="SRtitulek1"/>
        <w:rPr>
          <w:i/>
        </w:rPr>
      </w:pPr>
      <w:bookmarkStart w:id="66" w:name="_Toc145662000"/>
      <w:bookmarkStart w:id="67" w:name="_Toc175914449"/>
      <w:r w:rsidRPr="00BB3E2D">
        <w:t xml:space="preserve">Tabulka </w:t>
      </w:r>
      <w:fldSimple w:instr=" SEQ Tabulka \* ARABIC ">
        <w:r w:rsidR="001773BF">
          <w:rPr>
            <w:noProof/>
          </w:rPr>
          <w:t>9</w:t>
        </w:r>
      </w:fldSimple>
      <w:r w:rsidRPr="00BB3E2D">
        <w:t xml:space="preserve"> Vývoj daňových příjmů v letech 2019 – 202</w:t>
      </w:r>
      <w:r w:rsidR="00672775" w:rsidRPr="00BB3E2D">
        <w:t>7</w:t>
      </w:r>
      <w:r w:rsidRPr="00BB3E2D">
        <w:t xml:space="preserve"> </w:t>
      </w:r>
      <w:r w:rsidRPr="00BB3E2D">
        <w:rPr>
          <w:i/>
        </w:rPr>
        <w:t>(v mld. Kč)</w:t>
      </w:r>
      <w:bookmarkEnd w:id="66"/>
      <w:bookmarkEnd w:id="67"/>
    </w:p>
    <w:p w:rsidR="00E11515" w:rsidRDefault="00B6121B" w:rsidP="00E11515">
      <w:pPr>
        <w:rPr>
          <w:noProof/>
        </w:rPr>
      </w:pPr>
      <w:r w:rsidRPr="00B6121B">
        <w:rPr>
          <w:noProof/>
          <w:lang w:val="en-US" w:eastAsia="en-US"/>
        </w:rPr>
        <w:drawing>
          <wp:inline distT="0" distB="0" distL="0" distR="0">
            <wp:extent cx="6120130" cy="3534274"/>
            <wp:effectExtent l="0" t="0" r="0" b="9525"/>
            <wp:docPr id="39" name="Obrázek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6120130" cy="3534274"/>
                    </a:xfrm>
                    <a:prstGeom prst="rect">
                      <a:avLst/>
                    </a:prstGeom>
                    <a:noFill/>
                    <a:ln>
                      <a:noFill/>
                    </a:ln>
                  </pic:spPr>
                </pic:pic>
              </a:graphicData>
            </a:graphic>
          </wp:inline>
        </w:drawing>
      </w:r>
    </w:p>
    <w:p w:rsidR="000333D5" w:rsidRPr="00C47AE3" w:rsidRDefault="000333D5" w:rsidP="000333D5">
      <w:pPr>
        <w:pStyle w:val="SRNadpis4"/>
        <w:numPr>
          <w:ilvl w:val="3"/>
          <w:numId w:val="1"/>
        </w:numPr>
      </w:pPr>
      <w:r w:rsidRPr="00C47AE3">
        <w:t xml:space="preserve">Rozpočtové určení daní </w:t>
      </w:r>
    </w:p>
    <w:p w:rsidR="000333D5" w:rsidRPr="00F70F48" w:rsidRDefault="000333D5" w:rsidP="000333D5">
      <w:pPr>
        <w:sectPr w:rsidR="000333D5" w:rsidRPr="00F70F48" w:rsidSect="00160671">
          <w:type w:val="continuous"/>
          <w:pgSz w:w="11906" w:h="16838" w:code="9"/>
          <w:pgMar w:top="1134" w:right="1134" w:bottom="1418" w:left="1134" w:header="709" w:footer="709" w:gutter="0"/>
          <w:cols w:space="709"/>
          <w:docGrid w:linePitch="360"/>
        </w:sectPr>
      </w:pPr>
    </w:p>
    <w:p w:rsidR="00C47AE3" w:rsidRPr="00C47AE3" w:rsidRDefault="00C47AE3" w:rsidP="00C47AE3">
      <w:pPr>
        <w:pStyle w:val="SRTextnomal"/>
      </w:pPr>
      <w:r w:rsidRPr="00C47AE3">
        <w:t>S účinností od roku 2025 do</w:t>
      </w:r>
      <w:r w:rsidR="00E90F05">
        <w:t>chází</w:t>
      </w:r>
      <w:r w:rsidRPr="00C47AE3">
        <w:t xml:space="preserve"> v rámci zákona o konsolidaci veřejných financí ke změně rozpočtového určení daní tak, aby inkaso ze zvýšených sazeb sdílených daní bylo příjmem pouze státního rozpočtu (změna podílu obcí </w:t>
      </w:r>
      <w:r w:rsidRPr="00C47AE3">
        <w:t>na 24,16 % a krajů na 9,45 %).  Vzhledem ke změně rozpočtového určení daní jsou odhady dopadů diskrečních opatření u sdílených daní uváděny na úrovni veřejných rozpočtů.</w:t>
      </w:r>
    </w:p>
    <w:p w:rsidR="000C58F1" w:rsidRPr="00E1443D" w:rsidRDefault="000C58F1" w:rsidP="000333D5">
      <w:pPr>
        <w:pStyle w:val="SRTextnomal"/>
        <w:rPr>
          <w:b/>
          <w:highlight w:val="yellow"/>
        </w:rPr>
        <w:sectPr w:rsidR="000C58F1" w:rsidRPr="00E1443D" w:rsidSect="00160671">
          <w:type w:val="continuous"/>
          <w:pgSz w:w="11906" w:h="16838" w:code="9"/>
          <w:pgMar w:top="1134" w:right="1134" w:bottom="1418" w:left="1134" w:header="709" w:footer="709" w:gutter="0"/>
          <w:cols w:num="2" w:space="397"/>
          <w:docGrid w:linePitch="360"/>
        </w:sectPr>
      </w:pPr>
    </w:p>
    <w:p w:rsidR="00E11515" w:rsidRPr="00E1443D" w:rsidRDefault="00E11515" w:rsidP="00E1443D">
      <w:pPr>
        <w:pStyle w:val="SRNadpis4"/>
        <w:numPr>
          <w:ilvl w:val="3"/>
          <w:numId w:val="1"/>
        </w:numPr>
      </w:pPr>
      <w:r w:rsidRPr="00E1443D">
        <w:t>Daň z přidané hodnoty</w:t>
      </w:r>
    </w:p>
    <w:p w:rsidR="00E11515" w:rsidRPr="00E11515" w:rsidRDefault="00E11515" w:rsidP="00E11515">
      <w:pPr>
        <w:sectPr w:rsidR="00E11515" w:rsidRPr="00E11515" w:rsidSect="00576069">
          <w:type w:val="continuous"/>
          <w:pgSz w:w="11906" w:h="16838" w:code="9"/>
          <w:pgMar w:top="1134" w:right="1134" w:bottom="1418" w:left="1134" w:header="709" w:footer="709" w:gutter="0"/>
          <w:cols w:space="709"/>
          <w:docGrid w:linePitch="360"/>
        </w:sectPr>
      </w:pPr>
    </w:p>
    <w:p w:rsidR="00A645D9" w:rsidRDefault="00A645D9" w:rsidP="00A645D9">
      <w:pPr>
        <w:pStyle w:val="SRTextnomal"/>
      </w:pPr>
      <w:r>
        <w:t xml:space="preserve">V roce 2026 odhadujeme inkaso DPH na úrovni státního rozpočtu ve výši více než 433 mld. Kč. Meziročně tak dojde k nárůstu inkasa o cca 4,7 %, tj. 19,4 mld. Kč. Pozitivní vývoj inkasa DPH bude způsoben především růstem nominální spotřeby domácností. </w:t>
      </w:r>
    </w:p>
    <w:p w:rsidR="00A645D9" w:rsidRDefault="00A645D9" w:rsidP="00A645D9">
      <w:pPr>
        <w:pStyle w:val="SRTextnomal"/>
      </w:pPr>
      <w:r>
        <w:t xml:space="preserve">V roce 2027 očekáváme inkaso DPH na úrovni státního rozpočtu ve výši téměř 448 mld. Kč. Meziročně tak dojde k nárůstu inkasa o cca 3,3 %, tj. 14,5 mld. Kč. Tento růst </w:t>
      </w:r>
      <w:r>
        <w:t xml:space="preserve">bude pravděpodobně vyvolán pozitivním vývojem nominální spotřeby domácností. Na inkaso budou působit stejné vlivy jako v předešlém období. </w:t>
      </w:r>
    </w:p>
    <w:p w:rsidR="00A645D9" w:rsidRPr="00E11515" w:rsidRDefault="00A645D9" w:rsidP="00A645D9">
      <w:pPr>
        <w:pStyle w:val="SRTextnomal"/>
      </w:pPr>
      <w:r>
        <w:t xml:space="preserve">Negativně se do inkasa DPH v obou letech budou i nadále promítat také dopady změn účinných od ledna 2024, především redukce počtu sazeb daně z přidané hodnoty na základní 21 % a sníženou 12 % a přesunutí vybraného zboží a služeb ze snížené do základní sazby daně z přidané </w:t>
      </w:r>
      <w:r>
        <w:lastRenderedPageBreak/>
        <w:t>hodnoty.   Inkaso negativně ovlivní také změny vyplývající z novely DPH s plánovanou účinností od 1. 1. 2025.  Od</w:t>
      </w:r>
      <w:r>
        <w:t>hadujeme, že navrhovaná úprava bude mít negativní dopad na inkaso veřejných rozpočtů ve výši cca 2,8 mld. Kč v roce 2026 a 3,8 mld. Kč v roce 2027.</w:t>
      </w:r>
    </w:p>
    <w:p w:rsidR="00E11515" w:rsidRPr="00E11515" w:rsidRDefault="00E11515" w:rsidP="00E11515">
      <w:pPr>
        <w:sectPr w:rsidR="00E11515" w:rsidRPr="00E11515" w:rsidSect="00576069">
          <w:type w:val="continuous"/>
          <w:pgSz w:w="11906" w:h="16838" w:code="9"/>
          <w:pgMar w:top="1134" w:right="1134" w:bottom="1418" w:left="1134" w:header="709" w:footer="709" w:gutter="0"/>
          <w:cols w:num="2" w:space="397"/>
          <w:docGrid w:linePitch="360"/>
        </w:sectPr>
      </w:pPr>
    </w:p>
    <w:p w:rsidR="00E11515" w:rsidRPr="00E1443D" w:rsidRDefault="00E11515" w:rsidP="00E1443D">
      <w:pPr>
        <w:pStyle w:val="SRNadpis4"/>
        <w:numPr>
          <w:ilvl w:val="3"/>
          <w:numId w:val="1"/>
        </w:numPr>
      </w:pPr>
      <w:r w:rsidRPr="00E1443D">
        <w:t>Spotřební daně</w:t>
      </w:r>
    </w:p>
    <w:p w:rsidR="00E11515" w:rsidRPr="00E11515" w:rsidRDefault="00E11515" w:rsidP="00E11515">
      <w:pPr>
        <w:sectPr w:rsidR="00E11515" w:rsidRPr="00E11515" w:rsidSect="00576069">
          <w:type w:val="continuous"/>
          <w:pgSz w:w="11906" w:h="16838" w:code="9"/>
          <w:pgMar w:top="1134" w:right="1134" w:bottom="1418" w:left="1134" w:header="709" w:footer="709" w:gutter="0"/>
          <w:cols w:space="709"/>
          <w:docGrid w:linePitch="360"/>
        </w:sectPr>
      </w:pPr>
    </w:p>
    <w:p w:rsidR="00A645D9" w:rsidRDefault="00A645D9" w:rsidP="00A645D9">
      <w:pPr>
        <w:pStyle w:val="SRTextnomal"/>
      </w:pPr>
      <w:r>
        <w:t>Příjem státního rozpočtu v oblasti spotřební daně z minerálních olejů je v roce 2026 odhadován na úrovni 81,9</w:t>
      </w:r>
      <w:r w:rsidR="00D13EC7">
        <w:t> </w:t>
      </w:r>
      <w:r>
        <w:t>mld. Kč a v roce 2027 na 82,2 mld. Kč. Inkaso i nadále vykazuje mírně rostoucí trend, který však bude postupně brzdit technologický vývoj a snaha o ekologizaci dopravy.</w:t>
      </w:r>
    </w:p>
    <w:p w:rsidR="00A645D9" w:rsidRDefault="00A645D9" w:rsidP="00A645D9">
      <w:pPr>
        <w:pStyle w:val="SRTextnomal"/>
      </w:pPr>
      <w:r>
        <w:t>Souhrnné inkaso spotřebních daní z cigaret, doutníků, cigarillos, tabáku ke kouření, surového tabáku, zahřívaných tabákových výrobků a výrobků souvisejících s tabákovými výrobky je pro rok 2026 odhadováno ve výši 59,3 mld. Kč a pro rok 2027 ve výši 61,5 mld. Kč. Roky 2026 a 2027 jsou třetím a čtvrtým rokem čtyřletého plánu navyšování sa</w:t>
      </w:r>
      <w:r>
        <w:t>zeb, s růstem sazeb stejným jako v roce 2025 (klasické tabákové výrobky 5 %, zahřívané tabákové výrobky 15 % a</w:t>
      </w:r>
      <w:r w:rsidR="00D13EC7">
        <w:t> </w:t>
      </w:r>
      <w:r>
        <w:t>e-cigarety a nikotinové sáčky zdvojnásobení sazeb v</w:t>
      </w:r>
      <w:r w:rsidR="00D13EC7">
        <w:t> </w:t>
      </w:r>
      <w:r>
        <w:t>každém roce). Inkaso spotřební daně z lihu je pro rok 2026 predikováno ve výši 11,1 mld. Kč (třetí a poslední rok víceletého plánu navyšování sazeb, navýšení sazeb o</w:t>
      </w:r>
      <w:r w:rsidR="00D13EC7">
        <w:t> </w:t>
      </w:r>
      <w:r>
        <w:t>5 %) a pro rok 2027 ve výši 11,3 mld. Kč.</w:t>
      </w:r>
    </w:p>
    <w:p w:rsidR="00E11515" w:rsidRPr="00E11515" w:rsidRDefault="00A645D9" w:rsidP="001D4D21">
      <w:pPr>
        <w:pStyle w:val="SRTextnomal"/>
      </w:pPr>
      <w:r>
        <w:t>Plánovaný výnos spotřební daně z piva činí pro roky 2026 a 2027 4,6 mld. Kč a v případě vína 0,5 mld. Kč v obou letech. V oblasti energetických daní, tj. daň z elektřiny, zemního plynu a pevných paliv, je v letech 2026 a 2027 očekáván příjem státního rozpočtu ve výši 3,6 mld. Kč.</w:t>
      </w:r>
    </w:p>
    <w:p w:rsidR="00E11515" w:rsidRPr="00E11515" w:rsidRDefault="00E11515" w:rsidP="00E11515">
      <w:pPr>
        <w:sectPr w:rsidR="00E11515" w:rsidRPr="00E11515" w:rsidSect="00576069">
          <w:type w:val="continuous"/>
          <w:pgSz w:w="11906" w:h="16838" w:code="9"/>
          <w:pgMar w:top="1134" w:right="1134" w:bottom="1418" w:left="1134" w:header="709" w:footer="709" w:gutter="0"/>
          <w:cols w:num="2" w:space="397"/>
          <w:docGrid w:linePitch="360"/>
        </w:sectPr>
      </w:pPr>
    </w:p>
    <w:p w:rsidR="00E11515" w:rsidRPr="00E1443D" w:rsidRDefault="00E11515" w:rsidP="00E1443D">
      <w:pPr>
        <w:pStyle w:val="SRNadpis4"/>
        <w:numPr>
          <w:ilvl w:val="3"/>
          <w:numId w:val="1"/>
        </w:numPr>
      </w:pPr>
      <w:r w:rsidRPr="00E1443D">
        <w:t>Daň z příjmů právnických osob</w:t>
      </w:r>
    </w:p>
    <w:p w:rsidR="00E11515" w:rsidRPr="00E11515" w:rsidRDefault="00E11515" w:rsidP="00E11515">
      <w:pPr>
        <w:sectPr w:rsidR="00E11515" w:rsidRPr="00E11515" w:rsidSect="00576069">
          <w:type w:val="continuous"/>
          <w:pgSz w:w="11906" w:h="16838" w:code="9"/>
          <w:pgMar w:top="1134" w:right="1134" w:bottom="1418" w:left="1134" w:header="709" w:footer="709" w:gutter="0"/>
          <w:cols w:space="709"/>
          <w:docGrid w:linePitch="360"/>
        </w:sectPr>
      </w:pPr>
    </w:p>
    <w:p w:rsidR="00FD6376" w:rsidRPr="00FD6376" w:rsidRDefault="00FD6376" w:rsidP="00FD6376">
      <w:pPr>
        <w:pStyle w:val="SRTextnomal"/>
      </w:pPr>
      <w:bookmarkStart w:id="68" w:name="_Hlk175124680"/>
      <w:r w:rsidRPr="00FD6376">
        <w:t>V roce 2026 očekáváme inkaso daně z příjmů právnických osob ve výši 212,6 mld. Kč na úrovni státního rozpočtu. Meziročně tak dojde k poklesu inkasa o cca 13,0</w:t>
      </w:r>
      <w:r w:rsidR="0019264E">
        <w:t> </w:t>
      </w:r>
      <w:r w:rsidRPr="00FD6376">
        <w:t>%, tj. o téměř 32 mld. Kč. Inkaso bude meziročně ovlivněno ekonomickým vývojem v roce 2025 a legislativními opatřeními zavedenými v minulých letech. V tomto roce rovněž neočekáváme inkaso daně z neočekávaných zisků.</w:t>
      </w:r>
    </w:p>
    <w:p w:rsidR="00FD6376" w:rsidRPr="00FD6376" w:rsidRDefault="00FD6376" w:rsidP="00FD6376">
      <w:pPr>
        <w:pStyle w:val="SRTextnomal"/>
      </w:pPr>
      <w:r w:rsidRPr="00FD6376">
        <w:t>Na inkasu se mimo jiné projeví pozitivní dopad zavedení tzv. mimořádných odpisů pro hmotný majetek zařazený v 1. a 2. odpisové skupině v odhadované výši 1,1 mld. Kč na úrovni veřejných rozpočtů a současně pozitivní dopad prodloužení jejich účinnosti pro zdaňovací období 2022 a 2023 v odhadované výši 2,2 mld. Kč na úrovni veřejných rozpočtů.</w:t>
      </w:r>
    </w:p>
    <w:p w:rsidR="00FD6376" w:rsidRPr="00FD6376" w:rsidRDefault="00FD6376" w:rsidP="00FD6376">
      <w:pPr>
        <w:pStyle w:val="SRTextnomal"/>
      </w:pPr>
      <w:r w:rsidRPr="00FD6376">
        <w:t>Naopak negativní dopad na inkaso bude mít osvobození výnosů ze státních dluhopisů emitovaných po 1. lednu 2021 v odhadované výši 11,4 mld. Kč na úrovni veřejných rozpočtů a přeřazení nabíjecích stanic pro elektromobily z 3. odpisové skupiny do 2. odpisové skupiny s účinností od roku 2022 v odhadované výši 0,1 mld. Kč na úrovni veřejných rozpočtů.</w:t>
      </w:r>
    </w:p>
    <w:p w:rsidR="00FD6376" w:rsidRPr="00FD6376" w:rsidRDefault="00FD6376" w:rsidP="00FD6376">
      <w:pPr>
        <w:pStyle w:val="SRTextnomal"/>
      </w:pPr>
      <w:r w:rsidRPr="00FD6376">
        <w:t xml:space="preserve">Pro rok 2027 je předpokládáno inkaso daně z příjmů právnických osob ve výši 217,5 mld. Kč na úrovni státního rozpočtu. Meziročně tak dojde k nárůstu inkasa o cca 2,3 %, tj. o 4,8 mld. Kč. Inkaso bude meziročně ovlivněno ekonomickým vývojem v roce 2026 a stejnými legislativními opatřeními jako v minulých letech. </w:t>
      </w:r>
    </w:p>
    <w:p w:rsidR="00FD6376" w:rsidRPr="00FD6376" w:rsidRDefault="00FD6376" w:rsidP="00FD6376">
      <w:pPr>
        <w:pStyle w:val="SRTextnomal"/>
      </w:pPr>
      <w:r w:rsidRPr="00FD6376">
        <w:t>Na inkasu se mimo jiné projeví pozitivní dopad prodloužení účinnosti mimořádných odpisů pro hmotný majetek zařazený v 1. a 2. odpisové skupině pro zdaňovací období 2022 a 2023 v odhadované výši 2,2 mld. Kč na úrovni veřejných rozpočtů.</w:t>
      </w:r>
    </w:p>
    <w:p w:rsidR="00FD6376" w:rsidRPr="00FD6376" w:rsidRDefault="00FD6376" w:rsidP="00FD6376">
      <w:pPr>
        <w:pStyle w:val="SRTextnomal"/>
      </w:pPr>
      <w:r w:rsidRPr="00FD6376">
        <w:t>Naopak negativní dopad na inkaso bude mít osvobození výnosů ze státních dluhopisů emitovaných po 1. lednu 2021 v odhadované výši 12,6 mld. Kč na úrovni veřejných rozpočtů a přeřazení nabíjecích stanic pro elektromobily z 3. odpisové skupiny do 2. odpisové skupiny s účinností od roku 2022 v odhadované výši 0,1 mld. Kč na úrovni veřejných rozpočtů.</w:t>
      </w:r>
    </w:p>
    <w:p w:rsidR="00876588" w:rsidRPr="00E11515" w:rsidRDefault="00FD6376" w:rsidP="001D4D21">
      <w:pPr>
        <w:pStyle w:val="SRTextnomal"/>
      </w:pPr>
      <w:r w:rsidRPr="00FD6376">
        <w:t>Inkaso bude v roce 2026 a 2027 dále pozitivně ovlivněno změnami uvedenými v zákoně o konsolidaci veřejných rozpočtů, jedná se zejména o zvýšení sazby daně o 2 p. b., zdanění nadlimitního stravování, omezení daňové výhodnosti při nákupu osobních automobilů pro podnikatelské účely, zrušení daňové uznatelnosti alkoholických nápojů pro reprezentační účely a dočasné zavedení mimořádných odpisů pro vozidla s výlučným palivem na elektrickou energii, a to s celkovým odhadovaným dopadem ve výši více než 32 mld. Kč v roce 2026 a téměř 24 mld. Kč v roce 2027 na úrovni veřejných rozpočtů (včetně zohlednění změny výše záloh).</w:t>
      </w:r>
      <w:bookmarkEnd w:id="68"/>
    </w:p>
    <w:p w:rsidR="00E11515" w:rsidRPr="00E11515" w:rsidRDefault="00E11515" w:rsidP="00E11515">
      <w:pPr>
        <w:sectPr w:rsidR="00E11515" w:rsidRPr="00E11515" w:rsidSect="00576069">
          <w:type w:val="continuous"/>
          <w:pgSz w:w="11906" w:h="16838" w:code="9"/>
          <w:pgMar w:top="1134" w:right="1134" w:bottom="1418" w:left="1134" w:header="709" w:footer="709" w:gutter="0"/>
          <w:cols w:num="2" w:space="397"/>
          <w:docGrid w:linePitch="360"/>
        </w:sectPr>
      </w:pPr>
    </w:p>
    <w:p w:rsidR="00E11515" w:rsidRPr="00E1443D" w:rsidRDefault="00E11515" w:rsidP="00E1443D">
      <w:pPr>
        <w:pStyle w:val="SRNadpis4"/>
        <w:numPr>
          <w:ilvl w:val="3"/>
          <w:numId w:val="1"/>
        </w:numPr>
      </w:pPr>
      <w:r w:rsidRPr="00E1443D">
        <w:t>Daň z příjmů fyzických osob</w:t>
      </w:r>
    </w:p>
    <w:p w:rsidR="00E11515" w:rsidRPr="00E11515" w:rsidRDefault="00E11515" w:rsidP="00E11515">
      <w:pPr>
        <w:sectPr w:rsidR="00E11515" w:rsidRPr="00E11515" w:rsidSect="00576069">
          <w:type w:val="continuous"/>
          <w:pgSz w:w="11906" w:h="16838" w:code="9"/>
          <w:pgMar w:top="1134" w:right="1134" w:bottom="1418" w:left="1134" w:header="709" w:footer="709" w:gutter="0"/>
          <w:cols w:space="709"/>
          <w:docGrid w:linePitch="360"/>
        </w:sectPr>
      </w:pPr>
    </w:p>
    <w:p w:rsidR="00A645D9" w:rsidRPr="00A645D9" w:rsidRDefault="00A645D9" w:rsidP="00A645D9">
      <w:pPr>
        <w:pStyle w:val="SRTextnomal"/>
      </w:pPr>
      <w:r w:rsidRPr="00A645D9">
        <w:t>V roce 2026 je předpoklad celkového inkasa daně z příjmů fyzických osob odhadován ve výši 193,2 mld. Kč na úrovni státního rozpočtu. Meziročně tak dochází k nárůstu inkasa o 8,5 mld. Kč, tj. 4,6 %. Pro rok 2027 odhadujeme meziroční nárůst na úroveň 202,9 mld. Kč, tj. o 9,7 mld. Kč, resp. 5,0 %.</w:t>
      </w:r>
    </w:p>
    <w:p w:rsidR="00A645D9" w:rsidRPr="00685BF0" w:rsidRDefault="00A645D9" w:rsidP="00A645D9">
      <w:pPr>
        <w:pStyle w:val="SRTextnomal"/>
      </w:pPr>
      <w:r w:rsidRPr="00685BF0">
        <w:t xml:space="preserve">Inkaso daně z příjmů fyzických osob placené plátci je pro rok 2026 predikováno ve výši téměř 156 mld. Kč, což znamená meziroční růst o 10,6 mld. Kč, tj. 7,3 %. </w:t>
      </w:r>
      <w:r w:rsidRPr="00685BF0">
        <w:t>V roce 2027 předpokládáme meziroční růst o 10,3 mld. Kč na částku více než 166 mld. Kč, tj. 6,6 %. Inkaso daně pro tato období bude ovlivněno opatřeními zavedenými v minulých letech.</w:t>
      </w:r>
    </w:p>
    <w:p w:rsidR="00A645D9" w:rsidRPr="00685BF0" w:rsidRDefault="00A645D9" w:rsidP="00A645D9">
      <w:pPr>
        <w:pStyle w:val="SRTextnomal"/>
      </w:pPr>
      <w:r w:rsidRPr="00685BF0">
        <w:t>Odhadované inkaso daně z příjmů fyzických osob placené poplatníky za rok 2026 je ve výši 13,0 mld. Kč a 13,5 mld. Kč pro období roku 2027 na úrovni státního rozpočtu. Inkaso daně bude pro tato období ovlivněno opatřeními zavedenými v minulých letech.</w:t>
      </w:r>
    </w:p>
    <w:p w:rsidR="00550663" w:rsidRPr="00E11515" w:rsidRDefault="00A645D9" w:rsidP="00550663">
      <w:pPr>
        <w:pStyle w:val="SRTextnomal"/>
      </w:pPr>
      <w:r w:rsidRPr="00685BF0">
        <w:lastRenderedPageBreak/>
        <w:t>Inkaso daně vybírané srážkou je pro období</w:t>
      </w:r>
      <w:r w:rsidRPr="00A645D9">
        <w:t xml:space="preserve"> let 2026 odhadováno ve výši 24,3 mld. Kč a 23,2 mld. Kč pro rok 2027 na úrovni státního rozpočtu. Inkaso bude pro obě fiskální </w:t>
      </w:r>
      <w:r w:rsidRPr="00A645D9">
        <w:t>období ovlivněno opatřeními zavedenými v minulých letech.</w:t>
      </w:r>
    </w:p>
    <w:p w:rsidR="00E11515" w:rsidRPr="00E11515" w:rsidRDefault="00E11515" w:rsidP="00E11515">
      <w:pPr>
        <w:rPr>
          <w:strike/>
        </w:rPr>
        <w:sectPr w:rsidR="00E11515" w:rsidRPr="00E11515" w:rsidSect="00576069">
          <w:type w:val="continuous"/>
          <w:pgSz w:w="11906" w:h="16838" w:code="9"/>
          <w:pgMar w:top="1134" w:right="1134" w:bottom="1418" w:left="1134" w:header="709" w:footer="709" w:gutter="0"/>
          <w:cols w:num="2" w:space="397"/>
          <w:docGrid w:linePitch="360"/>
        </w:sectPr>
      </w:pPr>
    </w:p>
    <w:p w:rsidR="00981851" w:rsidRDefault="00981851" w:rsidP="00E1443D">
      <w:pPr>
        <w:pStyle w:val="SRNadpis4"/>
        <w:numPr>
          <w:ilvl w:val="3"/>
          <w:numId w:val="1"/>
        </w:numPr>
      </w:pPr>
      <w:r>
        <w:t>Silniční daň</w:t>
      </w:r>
    </w:p>
    <w:p w:rsidR="00981851" w:rsidRDefault="00981851" w:rsidP="00981851">
      <w:pPr>
        <w:pStyle w:val="SRNadpis4"/>
        <w:tabs>
          <w:tab w:val="clear" w:pos="851"/>
        </w:tabs>
        <w:ind w:left="142"/>
        <w:rPr>
          <w:b w:val="0"/>
        </w:rPr>
        <w:sectPr w:rsidR="00981851" w:rsidSect="00576069">
          <w:type w:val="continuous"/>
          <w:pgSz w:w="11906" w:h="16838" w:code="9"/>
          <w:pgMar w:top="1134" w:right="1134" w:bottom="1418" w:left="1134" w:header="709" w:footer="709" w:gutter="0"/>
          <w:cols w:space="709"/>
          <w:docGrid w:linePitch="360"/>
        </w:sectPr>
      </w:pPr>
    </w:p>
    <w:p w:rsidR="00A645D9" w:rsidRPr="00A645D9" w:rsidRDefault="00A645D9" w:rsidP="00A645D9">
      <w:pPr>
        <w:pStyle w:val="SRTextnomal"/>
        <w:sectPr w:rsidR="00A645D9" w:rsidRPr="00A645D9" w:rsidSect="00F962C0">
          <w:type w:val="continuous"/>
          <w:pgSz w:w="11906" w:h="16838" w:code="9"/>
          <w:pgMar w:top="1134" w:right="1134" w:bottom="1418" w:left="1134" w:header="709" w:footer="709" w:gutter="0"/>
          <w:cols w:num="2" w:space="397"/>
          <w:docGrid w:linePitch="360"/>
        </w:sectPr>
      </w:pPr>
      <w:r w:rsidRPr="00A645D9">
        <w:t xml:space="preserve">Pro roky 2026 a 2027 je očekáváno inkaso daně ve výši 0,8 mld. Kč, což je odrazem navrhovaného snížení sazby daně pro vozidla se vzduchovým závěsem hnací nápravy </w:t>
      </w:r>
      <w:r w:rsidRPr="00A645D9">
        <w:t xml:space="preserve">se vzduchovým pérováním s negativním dopadem na inkaso v odhadované výši 0,4 mld. Kč.  </w:t>
      </w:r>
    </w:p>
    <w:p w:rsidR="00A064C2" w:rsidRPr="00981851" w:rsidRDefault="00A064C2" w:rsidP="00550663">
      <w:pPr>
        <w:pStyle w:val="SRTextnomal"/>
        <w:rPr>
          <w:b/>
        </w:rPr>
      </w:pPr>
    </w:p>
    <w:p w:rsidR="00981851" w:rsidRDefault="00981851" w:rsidP="00E1443D">
      <w:pPr>
        <w:pStyle w:val="SRNadpis4"/>
        <w:numPr>
          <w:ilvl w:val="3"/>
          <w:numId w:val="1"/>
        </w:numPr>
        <w:sectPr w:rsidR="00981851" w:rsidSect="00981851">
          <w:type w:val="continuous"/>
          <w:pgSz w:w="11906" w:h="16838" w:code="9"/>
          <w:pgMar w:top="1134" w:right="1134" w:bottom="1418" w:left="1134" w:header="709" w:footer="709" w:gutter="0"/>
          <w:cols w:num="2" w:space="288"/>
          <w:docGrid w:linePitch="360"/>
        </w:sectPr>
      </w:pPr>
    </w:p>
    <w:p w:rsidR="00E11515" w:rsidRPr="00E1443D" w:rsidRDefault="00E11515" w:rsidP="00E1443D">
      <w:pPr>
        <w:pStyle w:val="SRNadpis4"/>
        <w:numPr>
          <w:ilvl w:val="3"/>
          <w:numId w:val="1"/>
        </w:numPr>
      </w:pPr>
      <w:r w:rsidRPr="00E1443D">
        <w:t>Odvod z elektřiny vyrobené ze slunečního záření</w:t>
      </w:r>
    </w:p>
    <w:p w:rsidR="00E11515" w:rsidRPr="00E11515" w:rsidRDefault="00E11515" w:rsidP="00E11515">
      <w:pPr>
        <w:sectPr w:rsidR="00E11515" w:rsidRPr="00E11515" w:rsidSect="00576069">
          <w:type w:val="continuous"/>
          <w:pgSz w:w="11906" w:h="16838" w:code="9"/>
          <w:pgMar w:top="1134" w:right="1134" w:bottom="1418" w:left="1134" w:header="709" w:footer="709" w:gutter="0"/>
          <w:cols w:space="709"/>
          <w:docGrid w:linePitch="360"/>
        </w:sectPr>
      </w:pPr>
    </w:p>
    <w:p w:rsidR="002D17BC" w:rsidRPr="00E11515" w:rsidRDefault="00015E35" w:rsidP="00A645D9">
      <w:pPr>
        <w:pStyle w:val="SRTextnomal"/>
      </w:pPr>
      <w:r>
        <w:t xml:space="preserve"> </w:t>
      </w:r>
      <w:r w:rsidR="00A645D9" w:rsidRPr="00A645D9">
        <w:t>Pro roky 2026 a 2027 predikujeme výši odvodu z</w:t>
      </w:r>
      <w:r w:rsidR="000B4BD8">
        <w:t> </w:t>
      </w:r>
      <w:r w:rsidR="00A645D9" w:rsidRPr="00A645D9">
        <w:t xml:space="preserve">elektřiny vyrobené ze slunečního záření na úrovni </w:t>
      </w:r>
      <w:r w:rsidR="00A645D9" w:rsidRPr="00A645D9">
        <w:t>4,1</w:t>
      </w:r>
      <w:r w:rsidR="000B4BD8">
        <w:t> </w:t>
      </w:r>
      <w:r w:rsidR="00A645D9" w:rsidRPr="00A645D9">
        <w:t>mld. Kč, neboť neočekáváme takové změny, které by měly za následek výraznější změnu inkasa.</w:t>
      </w:r>
    </w:p>
    <w:p w:rsidR="00E11515" w:rsidRPr="00E11515" w:rsidRDefault="00E11515" w:rsidP="00E11515">
      <w:pPr>
        <w:sectPr w:rsidR="00E11515" w:rsidRPr="00E11515" w:rsidSect="00576069">
          <w:type w:val="continuous"/>
          <w:pgSz w:w="11906" w:h="16838" w:code="9"/>
          <w:pgMar w:top="1134" w:right="1134" w:bottom="1418" w:left="1134" w:header="709" w:footer="709" w:gutter="0"/>
          <w:cols w:num="2" w:space="397"/>
          <w:docGrid w:linePitch="360"/>
        </w:sectPr>
      </w:pPr>
    </w:p>
    <w:p w:rsidR="00E11515" w:rsidRPr="00E1443D" w:rsidRDefault="00E11515" w:rsidP="00E1443D">
      <w:pPr>
        <w:pStyle w:val="SRNadpis4"/>
        <w:numPr>
          <w:ilvl w:val="3"/>
          <w:numId w:val="1"/>
        </w:numPr>
      </w:pPr>
      <w:r w:rsidRPr="00E1443D">
        <w:t>Daň z hazardu</w:t>
      </w:r>
    </w:p>
    <w:p w:rsidR="00E11515" w:rsidRPr="00E11515" w:rsidRDefault="00E11515" w:rsidP="00E11515">
      <w:pPr>
        <w:sectPr w:rsidR="00E11515" w:rsidRPr="00E11515" w:rsidSect="00576069">
          <w:type w:val="continuous"/>
          <w:pgSz w:w="11906" w:h="16838" w:code="9"/>
          <w:pgMar w:top="1134" w:right="1134" w:bottom="1418" w:left="1134" w:header="709" w:footer="709" w:gutter="0"/>
          <w:cols w:space="709"/>
          <w:docGrid w:linePitch="360"/>
        </w:sectPr>
      </w:pPr>
    </w:p>
    <w:p w:rsidR="00077697" w:rsidRPr="00077697" w:rsidRDefault="00077697" w:rsidP="00077697">
      <w:pPr>
        <w:pStyle w:val="SRTextnomal"/>
      </w:pPr>
      <w:r w:rsidRPr="00077697">
        <w:t>Pro rok 2026 predikujeme výši inkasa daně z hazardu na cca 17,1 mld. Kč na úrovni státního rozpočtu a pro rok 2027 ji predikujeme na úrovni cca 15,6 mld. Kč.</w:t>
      </w:r>
    </w:p>
    <w:p w:rsidR="00E11515" w:rsidRPr="00E11515" w:rsidRDefault="00077697" w:rsidP="001D4D21">
      <w:pPr>
        <w:pStyle w:val="SRTextnomal"/>
      </w:pPr>
      <w:r w:rsidRPr="00077697">
        <w:t xml:space="preserve">Inkaso této daně bude ovlivněno opatřeními zavedenými v minulých letech, zejména zvýšením druhé sazby daně </w:t>
      </w:r>
      <w:r w:rsidRPr="00077697">
        <w:t>z</w:t>
      </w:r>
      <w:r w:rsidR="00F0499E">
        <w:t> </w:t>
      </w:r>
      <w:r w:rsidRPr="00077697">
        <w:t>hazardních her z 23 % na 30 %, změnou rozpočtového určení ve prospěch státního rozpočtu či zavedením a rozšířením registru fyzických osob vyloučených z účasti na</w:t>
      </w:r>
      <w:r w:rsidR="008C19B1">
        <w:t> </w:t>
      </w:r>
      <w:r w:rsidRPr="00077697">
        <w:t>hazardních hrách</w:t>
      </w:r>
      <w:r>
        <w:t>.</w:t>
      </w:r>
    </w:p>
    <w:p w:rsidR="00E11515" w:rsidRPr="00E11515" w:rsidRDefault="00E11515" w:rsidP="00E11515">
      <w:pPr>
        <w:keepNext/>
        <w:tabs>
          <w:tab w:val="num" w:pos="864"/>
        </w:tabs>
        <w:spacing w:before="120" w:after="0"/>
        <w:outlineLvl w:val="3"/>
        <w:rPr>
          <w:rFonts w:cs="Arial"/>
          <w:b/>
          <w:szCs w:val="28"/>
        </w:rPr>
        <w:sectPr w:rsidR="00E11515" w:rsidRPr="00E11515" w:rsidSect="00576069">
          <w:type w:val="continuous"/>
          <w:pgSz w:w="11906" w:h="16838" w:code="9"/>
          <w:pgMar w:top="1134" w:right="1134" w:bottom="1418" w:left="1134" w:header="709" w:footer="709" w:gutter="0"/>
          <w:cols w:num="2" w:space="397"/>
          <w:docGrid w:linePitch="360"/>
        </w:sectPr>
      </w:pPr>
    </w:p>
    <w:p w:rsidR="00E11515" w:rsidRPr="00165855" w:rsidRDefault="00E11515" w:rsidP="00E1443D">
      <w:pPr>
        <w:pStyle w:val="SRNadpis4"/>
        <w:numPr>
          <w:ilvl w:val="3"/>
          <w:numId w:val="1"/>
        </w:numPr>
      </w:pPr>
      <w:r w:rsidRPr="00165855">
        <w:t>Poplatky za znečišťování životního prostředí</w:t>
      </w:r>
    </w:p>
    <w:p w:rsidR="00E11515" w:rsidRPr="00E11515" w:rsidRDefault="00E11515" w:rsidP="00E11515">
      <w:pPr>
        <w:sectPr w:rsidR="00E11515" w:rsidRPr="00E11515" w:rsidSect="00576069">
          <w:type w:val="continuous"/>
          <w:pgSz w:w="11906" w:h="16838" w:code="9"/>
          <w:pgMar w:top="1134" w:right="1134" w:bottom="1418" w:left="1134" w:header="709" w:footer="709" w:gutter="0"/>
          <w:cols w:space="709"/>
          <w:docGrid w:linePitch="360"/>
        </w:sectPr>
      </w:pPr>
    </w:p>
    <w:p w:rsidR="00165855" w:rsidRPr="00236092" w:rsidRDefault="00165855" w:rsidP="001D4D21">
      <w:pPr>
        <w:pStyle w:val="SRTextnomal"/>
      </w:pPr>
      <w:r w:rsidRPr="00236092">
        <w:t>Poplatky za uložení odpadů rozpočtované v letech výhledu 202</w:t>
      </w:r>
      <w:r w:rsidR="00236092" w:rsidRPr="00236092">
        <w:t>6</w:t>
      </w:r>
      <w:r w:rsidRPr="00236092">
        <w:t xml:space="preserve"> a 202</w:t>
      </w:r>
      <w:r w:rsidR="00236092" w:rsidRPr="00236092">
        <w:t>7</w:t>
      </w:r>
      <w:r w:rsidRPr="00236092">
        <w:t xml:space="preserve"> ve výši 1,7 mld. Kč se týkají odvodů od</w:t>
      </w:r>
      <w:r w:rsidR="00032856">
        <w:t> </w:t>
      </w:r>
      <w:r w:rsidRPr="00236092">
        <w:t>původců radioaktivních odpadů na jaderný účet (součást příjmů kapitoly Operace státních finančních aktiv).</w:t>
      </w:r>
    </w:p>
    <w:p w:rsidR="00E11515" w:rsidRPr="00E11515" w:rsidRDefault="00165855" w:rsidP="001D4D21">
      <w:pPr>
        <w:pStyle w:val="SRTextnomal"/>
      </w:pPr>
      <w:r w:rsidRPr="00236092">
        <w:t>V souvislosti s přijetím novely horního zákona č.</w:t>
      </w:r>
      <w:r w:rsidR="00BF3BAC">
        <w:t> </w:t>
      </w:r>
      <w:r w:rsidRPr="00236092">
        <w:t>89/2016</w:t>
      </w:r>
      <w:r w:rsidR="004B2FA0">
        <w:t> </w:t>
      </w:r>
      <w:r w:rsidRPr="00236092">
        <w:t xml:space="preserve">Sb. došlo od roku 2017 k zásadním změnám </w:t>
      </w:r>
      <w:r w:rsidRPr="00236092">
        <w:t>při stanovení výše povinnosti úhrady z dobývacího prostoru a úhrady z vydobytých nerostů a ve způsobu rozdělování výnosu úhrad z vydobytých nerostů. Příjmy z</w:t>
      </w:r>
      <w:r w:rsidR="00BF3BAC">
        <w:t> </w:t>
      </w:r>
      <w:r w:rsidRPr="00236092">
        <w:t xml:space="preserve">těchto úhrad jsou součástí daňových příjmů (týká se kapitol Ministerstvo životního prostředí, Ministerstvo průmyslu a obchodu a Českého báňského úřadu – ve výši 0,44 mld. Kč v </w:t>
      </w:r>
      <w:r w:rsidR="00032856">
        <w:t>obou</w:t>
      </w:r>
      <w:r w:rsidRPr="00236092">
        <w:t xml:space="preserve"> letech).</w:t>
      </w:r>
    </w:p>
    <w:p w:rsidR="00E11515" w:rsidRPr="00E11515" w:rsidRDefault="00E11515" w:rsidP="00E11515">
      <w:pPr>
        <w:keepNext/>
        <w:tabs>
          <w:tab w:val="num" w:pos="864"/>
        </w:tabs>
        <w:spacing w:before="120" w:after="0"/>
        <w:outlineLvl w:val="3"/>
        <w:rPr>
          <w:rFonts w:cs="Arial"/>
          <w:b/>
          <w:szCs w:val="28"/>
        </w:rPr>
        <w:sectPr w:rsidR="00E11515" w:rsidRPr="00E11515" w:rsidSect="00576069">
          <w:type w:val="continuous"/>
          <w:pgSz w:w="11906" w:h="16838" w:code="9"/>
          <w:pgMar w:top="1134" w:right="1134" w:bottom="1418" w:left="1134" w:header="709" w:footer="709" w:gutter="0"/>
          <w:cols w:num="2" w:space="397"/>
          <w:docGrid w:linePitch="360"/>
        </w:sectPr>
      </w:pPr>
    </w:p>
    <w:p w:rsidR="00971DF3" w:rsidRDefault="00971DF3" w:rsidP="00E1443D">
      <w:pPr>
        <w:pStyle w:val="SRNadpis4"/>
        <w:numPr>
          <w:ilvl w:val="3"/>
          <w:numId w:val="1"/>
        </w:numPr>
      </w:pPr>
      <w:r>
        <w:t>Ostatní daně a poplatky</w:t>
      </w:r>
    </w:p>
    <w:p w:rsidR="00971DF3" w:rsidRDefault="00971DF3" w:rsidP="00971DF3">
      <w:pPr>
        <w:sectPr w:rsidR="00971DF3" w:rsidSect="00576069">
          <w:type w:val="continuous"/>
          <w:pgSz w:w="11906" w:h="16838" w:code="9"/>
          <w:pgMar w:top="1134" w:right="1134" w:bottom="1418" w:left="1134" w:header="709" w:footer="709" w:gutter="0"/>
          <w:cols w:space="709"/>
          <w:docGrid w:linePitch="360"/>
        </w:sectPr>
      </w:pPr>
    </w:p>
    <w:p w:rsidR="00971DF3" w:rsidRDefault="00971DF3" w:rsidP="001D4D21">
      <w:pPr>
        <w:pStyle w:val="SRTextnomal"/>
      </w:pPr>
      <w:r w:rsidRPr="00236092">
        <w:t>Pro rok 202</w:t>
      </w:r>
      <w:r w:rsidR="000406FC">
        <w:t>6</w:t>
      </w:r>
      <w:r w:rsidRPr="00236092">
        <w:t xml:space="preserve"> se predikuje výše inkasa ostatních daní a poplatků ve výši </w:t>
      </w:r>
      <w:r w:rsidR="0069422B">
        <w:t>5</w:t>
      </w:r>
      <w:r w:rsidRPr="00236092">
        <w:t>,</w:t>
      </w:r>
      <w:r w:rsidR="00236092" w:rsidRPr="00236092">
        <w:t>9</w:t>
      </w:r>
      <w:r w:rsidRPr="00236092">
        <w:t xml:space="preserve"> mld. Kč a rok 202</w:t>
      </w:r>
      <w:r w:rsidR="00236092" w:rsidRPr="00236092">
        <w:t>7</w:t>
      </w:r>
      <w:r w:rsidRPr="00236092">
        <w:t xml:space="preserve"> rovněž ve výši </w:t>
      </w:r>
      <w:r w:rsidR="0069422B">
        <w:t>5</w:t>
      </w:r>
      <w:r w:rsidRPr="00236092">
        <w:t>,</w:t>
      </w:r>
      <w:r w:rsidR="00236092" w:rsidRPr="00236092">
        <w:t>9</w:t>
      </w:r>
      <w:r w:rsidR="00977110" w:rsidRPr="00236092">
        <w:t> </w:t>
      </w:r>
      <w:r w:rsidRPr="00236092">
        <w:t>mld.</w:t>
      </w:r>
      <w:r w:rsidR="00977110" w:rsidRPr="00236092">
        <w:t> </w:t>
      </w:r>
      <w:r w:rsidRPr="00236092">
        <w:t xml:space="preserve">Kč. Na inkaso bude mít v obou letech pozitivní vliv legislativní opatření přijaté v minulých letech (zvýšení poplatku za vklad do katastru nemovitostí; od roku 2021 jsou </w:t>
      </w:r>
      <w:r w:rsidRPr="00236092">
        <w:t>zde rozpočtovány i soudní poplatky kapitoly Ministerstvo spravedlnosti ve výši 1,</w:t>
      </w:r>
      <w:r w:rsidR="00236092" w:rsidRPr="00236092">
        <w:t>2</w:t>
      </w:r>
      <w:r w:rsidRPr="00236092">
        <w:t xml:space="preserve"> mld. Kč </w:t>
      </w:r>
      <w:r w:rsidR="000406FC">
        <w:t>v obou letech výhledu</w:t>
      </w:r>
      <w:r w:rsidRPr="00236092">
        <w:t>)</w:t>
      </w:r>
      <w:r w:rsidR="00CA6B99" w:rsidRPr="00236092">
        <w:t>.</w:t>
      </w:r>
      <w:r w:rsidR="00F81252" w:rsidRPr="00F81252">
        <w:t xml:space="preserve"> Poplatky pak činí každoročně 2,3</w:t>
      </w:r>
      <w:r w:rsidR="00F81252">
        <w:t> </w:t>
      </w:r>
      <w:r w:rsidR="00F81252" w:rsidRPr="00F81252">
        <w:t>mld. Kč.</w:t>
      </w:r>
    </w:p>
    <w:p w:rsidR="00971DF3" w:rsidRDefault="00971DF3" w:rsidP="00971DF3">
      <w:pPr>
        <w:pStyle w:val="SRNadpis4"/>
        <w:numPr>
          <w:ilvl w:val="3"/>
          <w:numId w:val="1"/>
        </w:numPr>
        <w:sectPr w:rsidR="00971DF3" w:rsidSect="00971DF3">
          <w:type w:val="continuous"/>
          <w:pgSz w:w="11906" w:h="16838" w:code="9"/>
          <w:pgMar w:top="1134" w:right="1134" w:bottom="1418" w:left="1134" w:header="709" w:footer="709" w:gutter="0"/>
          <w:cols w:num="2" w:space="282"/>
          <w:docGrid w:linePitch="360"/>
        </w:sectPr>
      </w:pPr>
    </w:p>
    <w:p w:rsidR="00E11515" w:rsidRPr="00D42FC7" w:rsidRDefault="00971DF3" w:rsidP="00971DF3">
      <w:pPr>
        <w:pStyle w:val="SRNadpis4"/>
        <w:numPr>
          <w:ilvl w:val="3"/>
          <w:numId w:val="1"/>
        </w:numPr>
      </w:pPr>
      <w:r>
        <w:t>Dorovnávací da</w:t>
      </w:r>
      <w:r w:rsidR="00FD25D8">
        <w:t>ň</w:t>
      </w:r>
    </w:p>
    <w:p w:rsidR="00E11515" w:rsidRPr="00D42FC7" w:rsidRDefault="00E11515" w:rsidP="00E11515">
      <w:pPr>
        <w:sectPr w:rsidR="00E11515" w:rsidRPr="00D42FC7" w:rsidSect="00576069">
          <w:type w:val="continuous"/>
          <w:pgSz w:w="11906" w:h="16838" w:code="9"/>
          <w:pgMar w:top="1134" w:right="1134" w:bottom="1418" w:left="1134" w:header="709" w:footer="709" w:gutter="0"/>
          <w:cols w:space="709"/>
          <w:docGrid w:linePitch="360"/>
        </w:sectPr>
      </w:pPr>
    </w:p>
    <w:p w:rsidR="00557C55" w:rsidRDefault="00557C55" w:rsidP="00557C55">
      <w:pPr>
        <w:pStyle w:val="SRTextnomal"/>
      </w:pPr>
      <w:r>
        <w:t>Příjmy státního rozpočtu budou od roku 2025 také pozitivně ovlivněny dorovnávacími daněmi. Dne 31. prosince 2023 nabyl účinnosti zákon č. 416/2023 Sb., o dorovnávacích daních pro velké nadnárodní skupiny a velké vnitrostátní skupiny, prostřednictvím kterého byla do české legislativy transponována směrnice Rady EU 2022/2523 o zajištění globální minimální úrovně zdanění nadnárodních skupin podniků a velkých vnitrostátních skupin v Unii.</w:t>
      </w:r>
    </w:p>
    <w:p w:rsidR="00557C55" w:rsidRDefault="00557C55" w:rsidP="00557C55">
      <w:pPr>
        <w:pStyle w:val="SRTextnomal"/>
      </w:pPr>
      <w:r>
        <w:t xml:space="preserve">Zákon se týká jen entit, které jsou členy nadnárodních a vnitrostátních skupin s roční prahovou hodnotou konsolidovaných výnosů ve výši alespoň 750 mil. </w:t>
      </w:r>
      <w:r w:rsidR="00C705A5">
        <w:t>EUR</w:t>
      </w:r>
      <w:r>
        <w:t xml:space="preserve"> nejméně </w:t>
      </w:r>
      <w:r>
        <w:t>ve dvou ze čtyř výkazních období</w:t>
      </w:r>
      <w:r w:rsidR="00C705A5">
        <w:t>ch</w:t>
      </w:r>
      <w:r>
        <w:t>, předcházejících zdaňovacímu období.</w:t>
      </w:r>
    </w:p>
    <w:p w:rsidR="00557C55" w:rsidRDefault="00557C55" w:rsidP="00557C55">
      <w:pPr>
        <w:pStyle w:val="SRTextnomal"/>
      </w:pPr>
      <w:r>
        <w:t xml:space="preserve">Zavedení minimální daně povede k tomu, že zisky velkých společností budou zdaněny alespoň na minimální efektivní úrovni 15 %. Směrnice, resp. zákon nicméně stanovují výjimky ve vztahu k vybraným druhům entit. </w:t>
      </w:r>
    </w:p>
    <w:p w:rsidR="00557C55" w:rsidRDefault="00557C55" w:rsidP="00557C55">
      <w:pPr>
        <w:pStyle w:val="SRTextnomal"/>
      </w:pPr>
      <w:r>
        <w:t>Dorovnávací daně budou příjmem státního rozpočtu, bude se jednat o přímé daně a nebudou se řadit mezi daně z příjmů.</w:t>
      </w:r>
    </w:p>
    <w:p w:rsidR="001D4D21" w:rsidRPr="00E11515" w:rsidRDefault="00077697" w:rsidP="00557C55">
      <w:pPr>
        <w:pStyle w:val="SRTextnomal"/>
      </w:pPr>
      <w:r w:rsidRPr="00077697">
        <w:t>V roce 2026 i v roce 2027 odhadujeme inkaso dorovnávacích daní ve výši 2,0 mld. Kč na úrovni státního rozpočtu.</w:t>
      </w:r>
    </w:p>
    <w:p w:rsidR="00E11515" w:rsidRPr="00E11515" w:rsidRDefault="00E11515" w:rsidP="00E11515">
      <w:pPr>
        <w:sectPr w:rsidR="00E11515" w:rsidRPr="00E11515" w:rsidSect="00576069">
          <w:type w:val="continuous"/>
          <w:pgSz w:w="11906" w:h="16838" w:code="9"/>
          <w:pgMar w:top="1134" w:right="1134" w:bottom="1418" w:left="1134" w:header="709" w:footer="709" w:gutter="0"/>
          <w:cols w:num="2" w:space="397"/>
          <w:docGrid w:linePitch="360"/>
        </w:sectPr>
      </w:pPr>
    </w:p>
    <w:p w:rsidR="00E11515" w:rsidRPr="00E11515" w:rsidRDefault="00E11515" w:rsidP="00576069">
      <w:pPr>
        <w:pStyle w:val="Nadpis3"/>
      </w:pPr>
      <w:bookmarkStart w:id="69" w:name="_Toc52369403"/>
      <w:bookmarkStart w:id="70" w:name="_Toc112771413"/>
      <w:bookmarkStart w:id="71" w:name="_Toc145662053"/>
      <w:r w:rsidRPr="00E11515">
        <w:lastRenderedPageBreak/>
        <w:t>Příjmy z pojistného na sociální zabezpečení a příspěvku na státní politiku zaměstnanosti</w:t>
      </w:r>
      <w:bookmarkEnd w:id="69"/>
      <w:bookmarkEnd w:id="70"/>
      <w:bookmarkEnd w:id="71"/>
    </w:p>
    <w:p w:rsidR="00E11515" w:rsidRPr="00D74F22" w:rsidRDefault="00E11515" w:rsidP="0033216C">
      <w:pPr>
        <w:pStyle w:val="SRtitulek1"/>
      </w:pPr>
      <w:bookmarkStart w:id="72" w:name="_Toc145662001"/>
      <w:bookmarkStart w:id="73" w:name="_Toc175914450"/>
      <w:r w:rsidRPr="00D74F22">
        <w:t xml:space="preserve">Tabulka </w:t>
      </w:r>
      <w:fldSimple w:instr=" SEQ Tabulka \* ARABIC ">
        <w:r w:rsidR="001773BF">
          <w:rPr>
            <w:noProof/>
          </w:rPr>
          <w:t>10</w:t>
        </w:r>
      </w:fldSimple>
      <w:r w:rsidRPr="00D74F22">
        <w:t xml:space="preserve"> Příjmy z pojistného v letech 2019 – 202</w:t>
      </w:r>
      <w:r w:rsidR="00CC0C8F">
        <w:t>7</w:t>
      </w:r>
      <w:r w:rsidRPr="00D74F22">
        <w:t xml:space="preserve"> </w:t>
      </w:r>
      <w:r w:rsidRPr="00E718F6">
        <w:rPr>
          <w:i/>
        </w:rPr>
        <w:t>(v mld. Kč)</w:t>
      </w:r>
      <w:bookmarkEnd w:id="72"/>
      <w:bookmarkEnd w:id="73"/>
    </w:p>
    <w:p w:rsidR="00E11515" w:rsidRPr="00E11515" w:rsidRDefault="008151AA" w:rsidP="00E11515">
      <w:r w:rsidRPr="008151AA">
        <w:drawing>
          <wp:inline distT="0" distB="0" distL="0" distR="0">
            <wp:extent cx="6120130" cy="1107631"/>
            <wp:effectExtent l="0" t="0" r="0" b="0"/>
            <wp:docPr id="13"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120130" cy="1107631"/>
                    </a:xfrm>
                    <a:prstGeom prst="rect">
                      <a:avLst/>
                    </a:prstGeom>
                    <a:noFill/>
                    <a:ln>
                      <a:noFill/>
                    </a:ln>
                  </pic:spPr>
                </pic:pic>
              </a:graphicData>
            </a:graphic>
          </wp:inline>
        </w:drawing>
      </w:r>
    </w:p>
    <w:p w:rsidR="00E11515" w:rsidRPr="00E11515" w:rsidRDefault="00E11515" w:rsidP="00E11515">
      <w:pPr>
        <w:sectPr w:rsidR="00E11515" w:rsidRPr="00E11515" w:rsidSect="00576069">
          <w:type w:val="continuous"/>
          <w:pgSz w:w="11906" w:h="16838" w:code="9"/>
          <w:pgMar w:top="1134" w:right="1134" w:bottom="1418" w:left="1134" w:header="709" w:footer="709" w:gutter="0"/>
          <w:cols w:space="709"/>
          <w:docGrid w:linePitch="360"/>
        </w:sectPr>
      </w:pPr>
    </w:p>
    <w:p w:rsidR="0068646D" w:rsidRDefault="0068646D" w:rsidP="0068646D">
      <w:pPr>
        <w:pStyle w:val="SRTextnomal"/>
      </w:pPr>
      <w:r>
        <w:t>Výhled příjmů z pojistného na sociální zabezpečení a příspěvku na státní politiku zaměstnanosti (dále jen pojistné na sociální zabezpečení) na roky 2026 a 2027 je založen na aktualizaci výhledu pro rok 2025 a 2026 podle aktualizované predikce makroekonomických ukazatelů ze srpna 2024 a na očekávaném inkasu v roce 2024. Vedle odhadu vývoje zaměstnanosti a průměrných mezd a platů je důležitým vodítkem objem mezd a platů v meziročním nárůstu o 6,4 %, 5,2 % a 4,7 % pro roky 2025 až 2027, jako rozhodující složky vyměřovacího základu pro pojistné na</w:t>
      </w:r>
      <w:r w:rsidR="002D7021">
        <w:t> </w:t>
      </w:r>
      <w:r>
        <w:t>sociální zabezpečení v civilním sektoru hospodářství.</w:t>
      </w:r>
    </w:p>
    <w:p w:rsidR="0068646D" w:rsidRDefault="0068646D" w:rsidP="0068646D">
      <w:pPr>
        <w:pStyle w:val="SRTextnomal"/>
      </w:pPr>
      <w:r>
        <w:t xml:space="preserve">Za těchto předpokladů dosahuje odhad příjmů z pojistného na sociální zabezpečení 855,5 mld. Kč v roce 2026 (meziroční nárůst proti příjmům rozpočtovaným pro rok </w:t>
      </w:r>
      <w:r>
        <w:t>2025 o 5,7 %) a 896,2 mld. Kč v roce 2027 (meziroční nárůst o 4,8 %). Z odhadu celkových příjmů z pojistného na</w:t>
      </w:r>
      <w:r w:rsidR="002D7021">
        <w:t> </w:t>
      </w:r>
      <w:r>
        <w:t>sociální zabezpečení připadá na pojistné na důchodové pojištění (včetně příslušenství) v obou dvou letech 87,8 %.</w:t>
      </w:r>
    </w:p>
    <w:p w:rsidR="0068646D" w:rsidRPr="00CC0C8F" w:rsidRDefault="0068646D" w:rsidP="0068646D">
      <w:pPr>
        <w:pStyle w:val="SRTextnomal"/>
      </w:pPr>
      <w:r>
        <w:t>Příjmy z pojistného na sociální zabezpečení v roce 2026 tvoří 43,5 % celkových příjmů státního rozpočtu (bez příjmů z EU a FM), v roce 2027 je to pak 43,8 %. Při naplnění predikce příjmů z pojistného na sociální zabezpečení a výdajů na důchodové pojištění, včetně započtení odhadovaných výdajů na správu důchodové služby, činí odhad hospodaření důchodového systému v roce 2026 deficit ve</w:t>
      </w:r>
      <w:r w:rsidR="002D7021">
        <w:t> </w:t>
      </w:r>
      <w:r>
        <w:t>výši cca 2,2 mld. Kč a v roce 2027 přebytek ve výši cca 19,0 mld. Kč.</w:t>
      </w:r>
    </w:p>
    <w:p w:rsidR="00E11515" w:rsidRPr="00B81240" w:rsidRDefault="00E11515" w:rsidP="00D04814">
      <w:pPr>
        <w:pStyle w:val="SRTextnomal"/>
      </w:pPr>
    </w:p>
    <w:p w:rsidR="00E11515" w:rsidRPr="00B81240" w:rsidRDefault="00E11515" w:rsidP="00E11515">
      <w:pPr>
        <w:sectPr w:rsidR="00E11515" w:rsidRPr="00B81240" w:rsidSect="00576069">
          <w:type w:val="continuous"/>
          <w:pgSz w:w="11906" w:h="16838" w:code="9"/>
          <w:pgMar w:top="1134" w:right="1134" w:bottom="1418" w:left="1134" w:header="709" w:footer="709" w:gutter="0"/>
          <w:cols w:num="2" w:space="397"/>
          <w:docGrid w:linePitch="360"/>
        </w:sectPr>
      </w:pPr>
    </w:p>
    <w:p w:rsidR="00E11515" w:rsidRPr="00B81240" w:rsidRDefault="00E11515" w:rsidP="00576069">
      <w:pPr>
        <w:pStyle w:val="Nadpis3"/>
      </w:pPr>
      <w:bookmarkStart w:id="74" w:name="_Toc52369404"/>
      <w:bookmarkStart w:id="75" w:name="_Toc112771414"/>
      <w:bookmarkStart w:id="76" w:name="_Toc145662054"/>
      <w:r w:rsidRPr="00B81240">
        <w:t>Nedaňové příjmy, kapitálové příjmy a přijaté transfery</w:t>
      </w:r>
      <w:bookmarkEnd w:id="74"/>
      <w:bookmarkEnd w:id="75"/>
      <w:bookmarkEnd w:id="76"/>
    </w:p>
    <w:p w:rsidR="00E11515" w:rsidRPr="00E718F6" w:rsidRDefault="00E11515" w:rsidP="0033216C">
      <w:pPr>
        <w:pStyle w:val="SRtitulek1"/>
      </w:pPr>
      <w:bookmarkStart w:id="77" w:name="_Toc145662002"/>
      <w:bookmarkStart w:id="78" w:name="_Toc175914451"/>
      <w:r w:rsidRPr="00E718F6">
        <w:t xml:space="preserve">Tabulka </w:t>
      </w:r>
      <w:fldSimple w:instr=" SEQ Tabulka \* ARABIC ">
        <w:r w:rsidR="001773BF">
          <w:rPr>
            <w:noProof/>
          </w:rPr>
          <w:t>11</w:t>
        </w:r>
      </w:fldSimple>
      <w:r w:rsidRPr="00E718F6">
        <w:t xml:space="preserve"> Nedaňové příjmy, kapitálové příjmy a přijaté transfery v letech 2019 – 202</w:t>
      </w:r>
      <w:r w:rsidR="00CC0C8F">
        <w:t>7</w:t>
      </w:r>
      <w:r w:rsidRPr="00E718F6">
        <w:t xml:space="preserve"> </w:t>
      </w:r>
      <w:r w:rsidRPr="00E718F6">
        <w:rPr>
          <w:i/>
        </w:rPr>
        <w:t>(v mil. Kč)</w:t>
      </w:r>
      <w:bookmarkEnd w:id="77"/>
      <w:bookmarkEnd w:id="78"/>
    </w:p>
    <w:p w:rsidR="00E11515" w:rsidRPr="00B81240" w:rsidRDefault="003370A9" w:rsidP="00E11515">
      <w:r w:rsidRPr="003370A9">
        <w:drawing>
          <wp:inline distT="0" distB="0" distL="0" distR="0">
            <wp:extent cx="6120130" cy="873450"/>
            <wp:effectExtent l="0" t="0" r="0" b="3175"/>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6120130" cy="873450"/>
                    </a:xfrm>
                    <a:prstGeom prst="rect">
                      <a:avLst/>
                    </a:prstGeom>
                    <a:noFill/>
                    <a:ln>
                      <a:noFill/>
                    </a:ln>
                  </pic:spPr>
                </pic:pic>
              </a:graphicData>
            </a:graphic>
          </wp:inline>
        </w:drawing>
      </w:r>
      <w:r w:rsidR="00E11515" w:rsidRPr="00E718F6">
        <w:rPr>
          <w:i/>
        </w:rPr>
        <w:t>Poznámka: bez prostředků EU a FM a v kapitole Ministerstvo zemědělství bez účetních operací v rámci PRV.</w:t>
      </w:r>
    </w:p>
    <w:p w:rsidR="00E11515" w:rsidRPr="00B81240" w:rsidRDefault="00E11515" w:rsidP="00E11515">
      <w:pPr>
        <w:sectPr w:rsidR="00E11515" w:rsidRPr="00B81240" w:rsidSect="00576069">
          <w:type w:val="continuous"/>
          <w:pgSz w:w="11906" w:h="16838" w:code="9"/>
          <w:pgMar w:top="1134" w:right="1134" w:bottom="1418" w:left="1134" w:header="709" w:footer="709" w:gutter="0"/>
          <w:cols w:space="709"/>
          <w:docGrid w:linePitch="360"/>
        </w:sectPr>
      </w:pPr>
    </w:p>
    <w:p w:rsidR="00335C2C" w:rsidRPr="004F09A2" w:rsidRDefault="00335C2C" w:rsidP="00335C2C">
      <w:pPr>
        <w:pStyle w:val="SRTextnomal"/>
      </w:pPr>
      <w:r w:rsidRPr="004F09A2">
        <w:t>Nedaňové příjmy, kapitálové příjmy a přijaté transfery (</w:t>
      </w:r>
      <w:r w:rsidRPr="004F09A2">
        <w:rPr>
          <w:i/>
        </w:rPr>
        <w:t>bez prostředků z rozpočtu EU a FM a účetních operací v rámci PRV</w:t>
      </w:r>
      <w:r w:rsidRPr="004F09A2">
        <w:t>) tvoří především příjmy jednotlivých kapitol za služby, které poskytují veřejnosti, přijaté vratky dotací, pokuty a jiné sankční platby, příjmy z prodeje nekapitálového majetku, přijaté splátky návratných finančních výpomocí, převody z fondů státních podniků do státního rozpočtu, příjmy z prodeje majetku, převody z rezervních fondů a další příjmy. Meziroční srovnatelnost ovlivňují zejména nahodilost řady příjmů, splátkové kalendáře návratných finančních výpomocí, rozsah použití rezervních fondů a rozsah zapojení prostředků ze zvláštních příjmových účtů Ministerstva financí do příjmů státního rozpočtu.</w:t>
      </w:r>
    </w:p>
    <w:p w:rsidR="00335C2C" w:rsidRPr="004F09A2" w:rsidRDefault="00335C2C" w:rsidP="00335C2C">
      <w:pPr>
        <w:pStyle w:val="SRTextnomal"/>
      </w:pPr>
      <w:r w:rsidRPr="004F09A2">
        <w:t>Podle současných odhadů se očekávají nedaňové příjmy, kapitálové příjmy a přijaté transfery (bez příjmů z EU a FM a PRV) pro rok 2025 ve výši 91,7 mld. Kč (v roce 2024 činí 103,0 mld. Kč). Pro léta 2026 a 2027 se počítá s výší příjmů v objemu 76,8 mld. Kč a 87,8 mld. Kč.</w:t>
      </w:r>
    </w:p>
    <w:p w:rsidR="00335C2C" w:rsidRPr="004F09A2" w:rsidRDefault="00335C2C" w:rsidP="00335C2C">
      <w:pPr>
        <w:pStyle w:val="SRTextnomal"/>
      </w:pPr>
      <w:r w:rsidRPr="004F09A2">
        <w:t>Pokles této kategorie příjmů v roce 2025 oproti roku 2024 o částku 11,3 mld. Kč souvisí mimo jiné s nižšími příjmy u kapitoly Ministerstvo životního prostředí, kde je pokles způsoben nižšími příjmy z obchodování s povolenkami na emise skleníkových plynů o 10,7 mld. Kč na úroveň 30,0 mld. Kč, dále v letech 2026 a 2027 na úroveň 33,0 mld. Kč a 45,0 mld. Kč. Oproti roku 2024 je také nižší příjem ze zvláštních účtů MF o 13,5 mld. Kč na úroveň 16,5 mld. Kč, přičemž pro léta výhledu se počítá s částkou 14 mld. Kč a 13 mld. Kč rozpočtovaných v kapitole Všeobecná pokladní správa.</w:t>
      </w:r>
    </w:p>
    <w:p w:rsidR="00335C2C" w:rsidRPr="004F09A2" w:rsidRDefault="00335C2C" w:rsidP="00335C2C">
      <w:pPr>
        <w:pStyle w:val="SRTextnomal"/>
      </w:pPr>
      <w:r w:rsidRPr="004F09A2">
        <w:t>Příjem z kmitočtů v kapitole Český telekomunikační úřad je pro rok 2025 rozpočtován ve výši 1,0 mld. Kč a pro léta výhledu také ve výši 1,0 mld. Kč každoročně.</w:t>
      </w:r>
    </w:p>
    <w:p w:rsidR="00335C2C" w:rsidRPr="004F09A2" w:rsidRDefault="00335C2C" w:rsidP="00335C2C">
      <w:pPr>
        <w:pStyle w:val="SRTextnomal"/>
      </w:pPr>
      <w:r w:rsidRPr="004F09A2">
        <w:t>V kapitole Ministerstvo financí se zvyšuje oproti roku 2024 příjem z podílu na clu o 0,2 mld. Kč na úroveň 4,0 mld. Kč, stejná částka i v letech výhledu. Dále v kapitole klesá příjem z pronájmu o 69,4 mil. Kč meziročně na úroveň 180,8 mil. Kč, obdobné částky i v letech výhledu (183 mil. Kč a 185 mil. Kč). Roste příjem z prodeje dlouhodobého majetku o 2,5 mld. Kč meziročně na úroveň 3,1 mld. Kč a pro léta výhledu se počítá s částkami ve výši 618,8 mil. Kč každoročně. Ostatní nedaňové příjmy kapitoly zůstávají na úrovni 507,0 mil. Kč pro léta 2025-2027.</w:t>
      </w:r>
    </w:p>
    <w:p w:rsidR="00335C2C" w:rsidRPr="004F09A2" w:rsidRDefault="00335C2C" w:rsidP="00335C2C">
      <w:pPr>
        <w:pStyle w:val="SRTextnomal"/>
      </w:pPr>
      <w:r w:rsidRPr="004F09A2">
        <w:t>V kapitole Ministerstvo průmyslu a obchodu se rozpočtuje příjem ze zvláštních účtů Ministerstva financí k úhradě nákladů a výdajů spojených s řešením důsledků po chemické těžbě uranu a souvisejících činností v oblasti Stráže pod Ralskem podle usnesení vlády č. 176/2022 v roce 2025 ve výši 1,3 mld. Kč (v roce 2026 a 2027 taktéž částky ve výši 1,3 mld. Kč) a dále částka 100 mil. Kč v roce 2025 z vypořádání ekologické zátěže ve skladu Vikantice (UV č. 352/24). Dále se v kapitole Ministerstvo průmyslu a obchodu rozpočtuje příjem z dividend ČEPS, a.s. ve výši 2,0 mld. Kč každoročně.</w:t>
      </w:r>
    </w:p>
    <w:p w:rsidR="00335C2C" w:rsidRPr="004F09A2" w:rsidRDefault="00335C2C" w:rsidP="00335C2C">
      <w:pPr>
        <w:pStyle w:val="SRTextnomal"/>
      </w:pPr>
      <w:r w:rsidRPr="004F09A2">
        <w:t>V kapitole Ministerstvo spravedlnosti činí ostatní nedaňové příjmy v letech 2025-2027 částky 349,3 mil. Kč.</w:t>
      </w:r>
    </w:p>
    <w:p w:rsidR="00335C2C" w:rsidRPr="004F09A2" w:rsidRDefault="00335C2C" w:rsidP="00335C2C">
      <w:pPr>
        <w:pStyle w:val="SRTextnomal"/>
      </w:pPr>
      <w:r w:rsidRPr="004F09A2">
        <w:t>V kapitole Operace státních finančních aktiv se rozpočtují oproti roku 2024 vyšší úrokové výnosy z finančního investování na jaderném účtu a příjmy z dividend ve výši 6,6 mld. Kč (o 3,0 mld. Kč více než v roce 2024), pro léta výhledu pak částky 1,8 mld. Kč a 1,9 mld. Kč.</w:t>
      </w:r>
    </w:p>
    <w:p w:rsidR="00335C2C" w:rsidRPr="004F09A2" w:rsidRDefault="00335C2C" w:rsidP="00335C2C">
      <w:pPr>
        <w:pStyle w:val="SRTextnomal"/>
      </w:pPr>
      <w:r w:rsidRPr="004F09A2">
        <w:t>V kapitole Všeobecná pokladní správa rostou odvody pojišťoven z provozu zákonného pojištění odpovědnosti zaměstnavatele za škodu způsobenou při pracovním úrazu nebo nemoci z povolání o 0,2 mld. Kč meziročně, pro rok 2025 na úroveň 4,3 mld. Kč, stejná úroveň i pro léta výhledu.</w:t>
      </w:r>
    </w:p>
    <w:p w:rsidR="00335C2C" w:rsidRPr="004F09A2" w:rsidRDefault="00335C2C" w:rsidP="00335C2C">
      <w:pPr>
        <w:pStyle w:val="SRTextnomal"/>
      </w:pPr>
      <w:r w:rsidRPr="004F09A2">
        <w:t>Pro léta výhledu 2026-2027 jsou v rámci těchto příjmů mj. rozpočtovány odvody prostředků ze státních podniků. V</w:t>
      </w:r>
      <w:r w:rsidR="004F09A2">
        <w:t> </w:t>
      </w:r>
      <w:r w:rsidRPr="004F09A2">
        <w:t>kapitole Ministerstvo obrany se rozpočtuje odvod státního podniku ve výši 1,1 mld. Kč v roce 2025, a ve výši 100 mil. Kč v letech výhledu. V kapitole Ministerstvo financí se pouze v roce 2025 rozpočtuje odvod ve výši 1,0</w:t>
      </w:r>
      <w:r w:rsidR="004F09A2">
        <w:t> </w:t>
      </w:r>
      <w:r w:rsidRPr="004F09A2">
        <w:t>mld. Kč, léta výhledu již není rozpočtován. Obdobně v kapitole Ministerstvo průmyslu a obchodu je v roce 2025 rozpočtován odvod ve výši 0,2 mld. Kč, ve výhledu se pak již nerozpočtuje. V kapitole Ministerstvo dopravy je pro rok 2025 rozpočtován odvod ve výši 0,8 mld. Kč a</w:t>
      </w:r>
      <w:r w:rsidR="004F09A2">
        <w:t> </w:t>
      </w:r>
      <w:r w:rsidRPr="004F09A2">
        <w:t>pro léta 2026 a 2027 ve výši 0,1 mld. Kč každoročně. V kapitole Ministerstva zemědělství je rozpočtovaná částka 7,5 mld. Kč pro rok 2025 a 2,5 mld. Kč pro léta výhledu.</w:t>
      </w:r>
    </w:p>
    <w:p w:rsidR="00E11515" w:rsidRPr="00B81240" w:rsidRDefault="00335C2C" w:rsidP="005F07F4">
      <w:pPr>
        <w:pStyle w:val="SRTextnomal"/>
      </w:pPr>
      <w:r w:rsidRPr="004F09A2">
        <w:t>Celkem je v uvedených kapitolách pro roky výhledu rozpočtována částka odvodu ze státních podniků ve výši 6,5</w:t>
      </w:r>
      <w:r w:rsidR="004F09A2">
        <w:t> </w:t>
      </w:r>
      <w:r w:rsidRPr="004F09A2">
        <w:t>mld. Kč a 6,6 mld. Kč vč. ČEPS a dividend kapitoly OSFA.</w:t>
      </w:r>
    </w:p>
    <w:p w:rsidR="00E11515" w:rsidRPr="00E11515" w:rsidRDefault="00E11515" w:rsidP="00E11515">
      <w:pPr>
        <w:rPr>
          <w:highlight w:val="yellow"/>
        </w:rPr>
        <w:sectPr w:rsidR="00E11515" w:rsidRPr="00E11515" w:rsidSect="00576069">
          <w:type w:val="continuous"/>
          <w:pgSz w:w="11906" w:h="16838" w:code="9"/>
          <w:pgMar w:top="1134" w:right="1134" w:bottom="1418" w:left="1134" w:header="709" w:footer="709" w:gutter="0"/>
          <w:cols w:num="2" w:space="397"/>
          <w:docGrid w:linePitch="360"/>
        </w:sectPr>
      </w:pPr>
    </w:p>
    <w:p w:rsidR="00E11515" w:rsidRPr="00E11515" w:rsidRDefault="00BE1EE7" w:rsidP="00576069">
      <w:pPr>
        <w:pStyle w:val="Nadpis2"/>
      </w:pPr>
      <w:bookmarkStart w:id="79" w:name="_Toc52369405"/>
      <w:bookmarkStart w:id="80" w:name="_Toc112771415"/>
      <w:bookmarkStart w:id="81" w:name="_Toc145662055"/>
      <w:bookmarkStart w:id="82" w:name="_Toc175914419"/>
      <w:r>
        <w:lastRenderedPageBreak/>
        <w:t>Výdaje státního rozpočtu</w:t>
      </w:r>
      <w:bookmarkEnd w:id="79"/>
      <w:bookmarkEnd w:id="80"/>
      <w:bookmarkEnd w:id="81"/>
      <w:bookmarkEnd w:id="82"/>
    </w:p>
    <w:p w:rsidR="00E11515" w:rsidRPr="00E11515" w:rsidRDefault="00E11515" w:rsidP="00E11515">
      <w:pPr>
        <w:keepNext/>
        <w:keepLines/>
        <w:spacing w:before="240"/>
        <w:rPr>
          <w:b/>
          <w:bCs/>
        </w:rPr>
        <w:sectPr w:rsidR="00E11515" w:rsidRPr="00E11515" w:rsidSect="00576069">
          <w:type w:val="continuous"/>
          <w:pgSz w:w="11906" w:h="16838" w:code="9"/>
          <w:pgMar w:top="1134" w:right="1134" w:bottom="1418" w:left="1134" w:header="709" w:footer="709" w:gutter="0"/>
          <w:cols w:space="709"/>
          <w:docGrid w:linePitch="360"/>
        </w:sectPr>
      </w:pPr>
    </w:p>
    <w:p w:rsidR="00E11515" w:rsidRPr="00750A8A" w:rsidRDefault="00E11515" w:rsidP="005F07F4">
      <w:pPr>
        <w:pStyle w:val="SRTextnomal"/>
      </w:pPr>
      <w:r w:rsidRPr="00750A8A">
        <w:t>Ve střednědobém výhledu na rok 202</w:t>
      </w:r>
      <w:r w:rsidR="00A451C8">
        <w:t>6</w:t>
      </w:r>
      <w:r w:rsidRPr="00750A8A">
        <w:t xml:space="preserve"> jsou rozpočtovány celkové výdaje ve výši 2 </w:t>
      </w:r>
      <w:r w:rsidR="002600F5" w:rsidRPr="00750A8A">
        <w:t>1</w:t>
      </w:r>
      <w:r w:rsidR="00A451C8">
        <w:t>90</w:t>
      </w:r>
      <w:r w:rsidRPr="00750A8A">
        <w:t>,</w:t>
      </w:r>
      <w:r w:rsidR="00A451C8">
        <w:t>3</w:t>
      </w:r>
      <w:r w:rsidR="00501A36" w:rsidRPr="00750A8A">
        <w:t> </w:t>
      </w:r>
      <w:r w:rsidRPr="00750A8A">
        <w:t>mld.</w:t>
      </w:r>
      <w:r w:rsidR="00501A36" w:rsidRPr="00750A8A">
        <w:t> </w:t>
      </w:r>
      <w:r w:rsidRPr="00750A8A">
        <w:t>Kč a pro rok 202</w:t>
      </w:r>
      <w:r w:rsidR="00A451C8">
        <w:t>7</w:t>
      </w:r>
      <w:r w:rsidRPr="00750A8A">
        <w:t xml:space="preserve"> ve</w:t>
      </w:r>
      <w:r w:rsidR="002600F5" w:rsidRPr="00750A8A">
        <w:t> </w:t>
      </w:r>
      <w:r w:rsidRPr="00750A8A">
        <w:t>výši 2 </w:t>
      </w:r>
      <w:r w:rsidR="00A451C8">
        <w:t>227</w:t>
      </w:r>
      <w:r w:rsidRPr="00750A8A">
        <w:t>,</w:t>
      </w:r>
      <w:r w:rsidR="00A451C8">
        <w:t>3</w:t>
      </w:r>
      <w:r w:rsidR="00501A36" w:rsidRPr="00750A8A">
        <w:t> </w:t>
      </w:r>
      <w:r w:rsidRPr="00750A8A">
        <w:t>mld.</w:t>
      </w:r>
      <w:r w:rsidR="00501A36" w:rsidRPr="00750A8A">
        <w:t> </w:t>
      </w:r>
      <w:r w:rsidRPr="00750A8A">
        <w:t xml:space="preserve">Kč. Tyto výdaje neobsahují výdaje, </w:t>
      </w:r>
      <w:r w:rsidRPr="00750A8A">
        <w:t>které jsou kryty příjmy z rozpočtu EU a FM. Prostředky z rozpočtu EU a FM se rozpočtují pouze v návrhu státního rozpočtu na příslušný rok.</w:t>
      </w:r>
    </w:p>
    <w:p w:rsidR="00E11515" w:rsidRPr="00750A8A" w:rsidRDefault="00E11515" w:rsidP="00E11515">
      <w:pPr>
        <w:sectPr w:rsidR="00E11515" w:rsidRPr="00750A8A" w:rsidSect="00576069">
          <w:type w:val="continuous"/>
          <w:pgSz w:w="11906" w:h="16838" w:code="9"/>
          <w:pgMar w:top="1134" w:right="1134" w:bottom="1418" w:left="1134" w:header="709" w:footer="709" w:gutter="0"/>
          <w:cols w:num="2" w:space="397"/>
          <w:docGrid w:linePitch="360"/>
        </w:sectPr>
      </w:pPr>
    </w:p>
    <w:p w:rsidR="00E11515" w:rsidRPr="00750A8A" w:rsidRDefault="00E11515" w:rsidP="0033216C">
      <w:pPr>
        <w:pStyle w:val="SRtitulek1"/>
      </w:pPr>
      <w:bookmarkStart w:id="83" w:name="_Toc145662003"/>
      <w:bookmarkStart w:id="84" w:name="_Toc175914452"/>
      <w:r w:rsidRPr="00750A8A">
        <w:t xml:space="preserve">Tabulka </w:t>
      </w:r>
      <w:fldSimple w:instr=" SEQ Tabulka \* ARABIC ">
        <w:r w:rsidR="001773BF">
          <w:rPr>
            <w:noProof/>
          </w:rPr>
          <w:t>12</w:t>
        </w:r>
      </w:fldSimple>
      <w:r w:rsidRPr="00750A8A">
        <w:t xml:space="preserve"> Vývoj celkových výdajů v letech 2019 – 202</w:t>
      </w:r>
      <w:r w:rsidR="004367ED">
        <w:t>7</w:t>
      </w:r>
      <w:r w:rsidRPr="00750A8A">
        <w:t xml:space="preserve"> </w:t>
      </w:r>
      <w:r w:rsidRPr="00E718F6">
        <w:rPr>
          <w:i/>
        </w:rPr>
        <w:t>(v mld. Kč)</w:t>
      </w:r>
      <w:bookmarkEnd w:id="83"/>
      <w:bookmarkEnd w:id="84"/>
    </w:p>
    <w:p w:rsidR="00E11515" w:rsidRPr="00E11515" w:rsidRDefault="00A451C8" w:rsidP="00E11515">
      <w:pPr>
        <w:tabs>
          <w:tab w:val="left" w:pos="4048"/>
        </w:tabs>
        <w:rPr>
          <w:i/>
        </w:rPr>
      </w:pPr>
      <w:r w:rsidRPr="00A451C8">
        <w:rPr>
          <w:noProof/>
          <w:lang w:val="en-US" w:eastAsia="en-US"/>
        </w:rPr>
        <w:drawing>
          <wp:inline distT="0" distB="0" distL="0" distR="0">
            <wp:extent cx="6120130" cy="843862"/>
            <wp:effectExtent l="0" t="0" r="0" b="0"/>
            <wp:docPr id="57" name="Obrázek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6120130" cy="843862"/>
                    </a:xfrm>
                    <a:prstGeom prst="rect">
                      <a:avLst/>
                    </a:prstGeom>
                    <a:noFill/>
                    <a:ln>
                      <a:noFill/>
                    </a:ln>
                  </pic:spPr>
                </pic:pic>
              </a:graphicData>
            </a:graphic>
          </wp:inline>
        </w:drawing>
      </w:r>
      <w:r w:rsidR="00E11515" w:rsidRPr="00750A8A">
        <w:rPr>
          <w:i/>
          <w:noProof/>
        </w:rPr>
        <w:t>Poznámka: výdaje bez EU a FM a v kapitole Ministerstvo zemědělství bez účetních operací v rámci PRV.</w:t>
      </w:r>
    </w:p>
    <w:p w:rsidR="00E11515" w:rsidRPr="00BB3E2D" w:rsidRDefault="00E11515" w:rsidP="00576069">
      <w:pPr>
        <w:pStyle w:val="Nadpis3"/>
      </w:pPr>
      <w:bookmarkStart w:id="85" w:name="_Toc52369406"/>
      <w:bookmarkStart w:id="86" w:name="_Toc112771416"/>
      <w:bookmarkStart w:id="87" w:name="_Toc145662056"/>
      <w:r w:rsidRPr="00BB3E2D">
        <w:t>Mandatorní výdaje státního rozpočtu</w:t>
      </w:r>
      <w:bookmarkEnd w:id="85"/>
      <w:bookmarkEnd w:id="86"/>
      <w:bookmarkEnd w:id="87"/>
    </w:p>
    <w:p w:rsidR="00E11515" w:rsidRPr="00E11515" w:rsidRDefault="00E11515" w:rsidP="00E11515">
      <w:pPr>
        <w:sectPr w:rsidR="00E11515" w:rsidRPr="00E11515" w:rsidSect="00576069">
          <w:type w:val="continuous"/>
          <w:pgSz w:w="11906" w:h="16838" w:code="9"/>
          <w:pgMar w:top="1134" w:right="1134" w:bottom="1418" w:left="1134" w:header="709" w:footer="709" w:gutter="0"/>
          <w:cols w:space="709"/>
          <w:docGrid w:linePitch="360"/>
        </w:sectPr>
      </w:pPr>
    </w:p>
    <w:p w:rsidR="00E11515" w:rsidRPr="005B563E" w:rsidRDefault="00E11515" w:rsidP="005F07F4">
      <w:pPr>
        <w:pStyle w:val="SRTextnomal"/>
      </w:pPr>
      <w:r w:rsidRPr="00E40D4D">
        <w:t xml:space="preserve">Výdajovou stranu střednědobého výhledu státního rozpočtu lze hodnotit podle různých kritérií. Jedním z nich je kritérium zákonné předurčenosti výdajových položek, podle něhož lze odlišit výdaje mandatorní, které je vláda </w:t>
      </w:r>
      <w:r w:rsidRPr="00E40D4D">
        <w:t>povinna uhradit, a výdaje ostatní (nemandatorní), v jejichž rámci může vláda pružně reagovat na měnící se podmínky fungování organizačních složek státu a na změny</w:t>
      </w:r>
      <w:r w:rsidR="00E7784B" w:rsidRPr="00E40D4D">
        <w:t xml:space="preserve"> v </w:t>
      </w:r>
      <w:r w:rsidRPr="00E40D4D">
        <w:t>jejich aktivitách.</w:t>
      </w:r>
    </w:p>
    <w:p w:rsidR="00E11515" w:rsidRPr="005B563E" w:rsidRDefault="00E11515" w:rsidP="00E11515">
      <w:pPr>
        <w:sectPr w:rsidR="00E11515" w:rsidRPr="005B563E" w:rsidSect="00576069">
          <w:type w:val="continuous"/>
          <w:pgSz w:w="11906" w:h="16838" w:code="9"/>
          <w:pgMar w:top="1134" w:right="1134" w:bottom="1418" w:left="1134" w:header="709" w:footer="709" w:gutter="0"/>
          <w:cols w:num="2" w:space="397"/>
          <w:docGrid w:linePitch="360"/>
        </w:sectPr>
      </w:pPr>
    </w:p>
    <w:p w:rsidR="00E11515" w:rsidRPr="00D74F22" w:rsidRDefault="00E11515" w:rsidP="005F07F4">
      <w:pPr>
        <w:pStyle w:val="SRtitulek1"/>
        <w:spacing w:after="240"/>
      </w:pPr>
      <w:bookmarkStart w:id="88" w:name="_Toc115424550"/>
      <w:r w:rsidRPr="005B563E">
        <w:lastRenderedPageBreak/>
        <w:t xml:space="preserve">Graf </w:t>
      </w:r>
      <w:fldSimple w:instr=" SEQ Graf \* ARABIC ">
        <w:r w:rsidR="001773BF">
          <w:rPr>
            <w:noProof/>
          </w:rPr>
          <w:t>12</w:t>
        </w:r>
      </w:fldSimple>
      <w:r w:rsidRPr="005B563E">
        <w:t xml:space="preserve"> Vývoj základních ukazatelů státního rozpočtu </w:t>
      </w:r>
      <w:r w:rsidR="00292CD9">
        <w:t>bez EU/FM a účetních operací v </w:t>
      </w:r>
      <w:r w:rsidR="00292CD9" w:rsidRPr="005F07F4">
        <w:t>rámci</w:t>
      </w:r>
      <w:r w:rsidR="00292CD9">
        <w:t xml:space="preserve"> PRV </w:t>
      </w:r>
      <w:r w:rsidRPr="005B563E">
        <w:t>(</w:t>
      </w:r>
      <w:r w:rsidRPr="00E718F6">
        <w:rPr>
          <w:i/>
        </w:rPr>
        <w:t>v mld. Kč)</w:t>
      </w:r>
      <w:bookmarkEnd w:id="88"/>
    </w:p>
    <w:p w:rsidR="00E11515" w:rsidRDefault="007A165F" w:rsidP="00E11515">
      <w:pPr>
        <w:jc w:val="left"/>
      </w:pPr>
      <w:r>
        <w:rPr>
          <w:noProof/>
          <w:lang w:val="en-US" w:eastAsia="en-US"/>
        </w:rPr>
        <w:t xml:space="preserve"> </w:t>
      </w:r>
      <w:r w:rsidR="000F50F7">
        <w:rPr>
          <w:noProof/>
          <w:lang w:val="en-US" w:eastAsia="en-US"/>
        </w:rPr>
        <w:drawing>
          <wp:inline distT="0" distB="0" distL="0" distR="0" wp14:anchorId="4A8D8B77">
            <wp:extent cx="6066000" cy="2901600"/>
            <wp:effectExtent l="0" t="0" r="0" b="0"/>
            <wp:docPr id="27" name="Obráze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6066000" cy="2901600"/>
                    </a:xfrm>
                    <a:prstGeom prst="rect">
                      <a:avLst/>
                    </a:prstGeom>
                    <a:noFill/>
                  </pic:spPr>
                </pic:pic>
              </a:graphicData>
            </a:graphic>
          </wp:inline>
        </w:drawing>
      </w:r>
    </w:p>
    <w:p w:rsidR="00B67B4F" w:rsidRPr="00E11515" w:rsidRDefault="00B67B4F" w:rsidP="00E11515">
      <w:pPr>
        <w:jc w:val="left"/>
        <w:sectPr w:rsidR="00B67B4F" w:rsidRPr="00E11515" w:rsidSect="00576069">
          <w:type w:val="continuous"/>
          <w:pgSz w:w="11906" w:h="16838" w:code="9"/>
          <w:pgMar w:top="1134" w:right="1134" w:bottom="1418" w:left="1134" w:header="709" w:footer="709" w:gutter="0"/>
          <w:cols w:space="397"/>
          <w:docGrid w:linePitch="360"/>
        </w:sectPr>
      </w:pPr>
    </w:p>
    <w:p w:rsidR="00D81709" w:rsidRPr="005A7B7B" w:rsidRDefault="00D81709" w:rsidP="00D81709">
      <w:pPr>
        <w:pStyle w:val="SRTextnomal"/>
        <w:keepNext/>
      </w:pPr>
      <w:r w:rsidRPr="005A7B7B">
        <w:t>Oproti loňskému roku byl upraven soubor výdajů sledovaných jako mandatorní tak, aby bylo možno tato data metodicky snáze spravovat, sledovat a vyhodnocovat. Charakter a v drtivé většině i rozsah sledovaného souboru zůstává nadále stejný.</w:t>
      </w:r>
    </w:p>
    <w:p w:rsidR="00D81709" w:rsidRPr="005A7B7B" w:rsidRDefault="00D81709" w:rsidP="00D81709">
      <w:pPr>
        <w:pStyle w:val="SRTextnomal"/>
        <w:keepNext/>
      </w:pPr>
      <w:r w:rsidRPr="005A7B7B">
        <w:t>Mandatorní výdaje lze členit do dvou sledovaných kategorií, a to na:</w:t>
      </w:r>
    </w:p>
    <w:p w:rsidR="00D81709" w:rsidRPr="005A7B7B" w:rsidRDefault="00D81709" w:rsidP="00D81709">
      <w:pPr>
        <w:pStyle w:val="SROdrka10"/>
        <w:numPr>
          <w:ilvl w:val="0"/>
          <w:numId w:val="5"/>
        </w:numPr>
        <w:tabs>
          <w:tab w:val="clear" w:pos="170"/>
        </w:tabs>
        <w:ind w:left="284" w:hanging="284"/>
      </w:pPr>
      <w:r w:rsidRPr="005A7B7B">
        <w:t>mandatorní výdaje vyplývající ze zákona a</w:t>
      </w:r>
    </w:p>
    <w:p w:rsidR="00D81709" w:rsidRPr="005A7B7B" w:rsidRDefault="00D81709" w:rsidP="00D81709">
      <w:pPr>
        <w:pStyle w:val="SROdrka10"/>
        <w:numPr>
          <w:ilvl w:val="0"/>
          <w:numId w:val="5"/>
        </w:numPr>
        <w:tabs>
          <w:tab w:val="clear" w:pos="170"/>
        </w:tabs>
        <w:ind w:left="284" w:hanging="284"/>
      </w:pPr>
      <w:r w:rsidRPr="005A7B7B">
        <w:t>ostatní mandatorní výdaje a quasi mandatorní výdaje, mezi které patří zejména výdaje OSS a PO na platy</w:t>
      </w:r>
      <w:r w:rsidR="00592A8A">
        <w:t xml:space="preserve"> včetně příslušenství</w:t>
      </w:r>
      <w:r w:rsidRPr="005A7B7B">
        <w:t xml:space="preserve"> a odvody do rozpočtu EU.</w:t>
      </w:r>
    </w:p>
    <w:p w:rsidR="0027520F" w:rsidRDefault="0027520F" w:rsidP="00D81709">
      <w:pPr>
        <w:pStyle w:val="SRTextnomal"/>
      </w:pPr>
      <w:r w:rsidRPr="0027520F">
        <w:t>Celý soubor mandatorních výdajů je sledována bez prostředků krytých příjmy z EU, FM a úč</w:t>
      </w:r>
      <w:r>
        <w:t>etních</w:t>
      </w:r>
      <w:r w:rsidRPr="0027520F">
        <w:t xml:space="preserve"> operací v</w:t>
      </w:r>
      <w:r>
        <w:t> </w:t>
      </w:r>
      <w:r w:rsidRPr="0027520F">
        <w:t>rámci PRV.</w:t>
      </w:r>
    </w:p>
    <w:p w:rsidR="00D81709" w:rsidRPr="005A7B7B" w:rsidRDefault="00D81709" w:rsidP="00D81709">
      <w:pPr>
        <w:pStyle w:val="SRTextnomal"/>
      </w:pPr>
      <w:r w:rsidRPr="005A7B7B">
        <w:t>Souhrnné údaje o těchto výdajích jsou uvedeny v následujících tabulkách a grafech.</w:t>
      </w:r>
    </w:p>
    <w:p w:rsidR="00592A8A" w:rsidRDefault="00D81709" w:rsidP="00592A8A">
      <w:pPr>
        <w:pStyle w:val="SRTextnomal"/>
      </w:pPr>
      <w:r w:rsidRPr="005A7B7B">
        <w:t>Podíl celkových mandatorních výdajů státního rozpočtu na celkových výdajích státního rozpočtu (s vyloučením vlivu EU/FM a účetních operací v rámci PRV) se očekává</w:t>
      </w:r>
      <w:r w:rsidR="00BA5AF5">
        <w:t xml:space="preserve"> v roce 2026 </w:t>
      </w:r>
      <w:r w:rsidRPr="005A7B7B">
        <w:t>ve výši 8</w:t>
      </w:r>
      <w:r w:rsidR="00BA5AF5">
        <w:t>4</w:t>
      </w:r>
      <w:r w:rsidRPr="005A7B7B">
        <w:t>,</w:t>
      </w:r>
      <w:r w:rsidR="00BA5AF5">
        <w:t>5</w:t>
      </w:r>
      <w:r w:rsidRPr="005A7B7B">
        <w:t xml:space="preserve"> %</w:t>
      </w:r>
      <w:r w:rsidR="00BA5AF5">
        <w:t xml:space="preserve"> a v roce 2027 ve výši 85,1 %.</w:t>
      </w:r>
      <w:r w:rsidRPr="005A7B7B">
        <w:t xml:space="preserve"> </w:t>
      </w:r>
      <w:r w:rsidR="00592A8A">
        <w:t xml:space="preserve">Mandatorní výdaje vyplývající ze zákona jsou pro rok 2026 rozpočtovány ve výši 1 423,2 mld. Kč a tvoří 76,9 % </w:t>
      </w:r>
      <w:r w:rsidR="00592A8A">
        <w:t>celkových mandatorních výdajů. Zbývající část představují ostatní mandatorní výdaje, které plynou z jiných právních norem, a quasi mandatorní výdaje a v roce 2026 činí 427,6 mld. Kč (z toho 337,1 mld. Kč činí platy včetně příslušenství OSS a PO).</w:t>
      </w:r>
    </w:p>
    <w:p w:rsidR="00592A8A" w:rsidRDefault="00592A8A" w:rsidP="00592A8A">
      <w:pPr>
        <w:pStyle w:val="SRTextnomal"/>
      </w:pPr>
      <w:r>
        <w:t>V roce 2027 jsou mandatorní výdaje vyplývající ze zákona rozpočtovány ve výši 1 463,8 mld. Kč (77,2 % celkových mandatorních výdajů) a ostatní mandatorní výdaje a quasi mandatorní výdaje jsou ve výši 431,2 mld. Kč (z toho 336,9 mld. Kč činí platy včetně příslušenství OSS a PO).</w:t>
      </w:r>
    </w:p>
    <w:p w:rsidR="00762D29" w:rsidRPr="00C62C49" w:rsidRDefault="00D81709" w:rsidP="005F07F4">
      <w:pPr>
        <w:pStyle w:val="SRTextnomal"/>
      </w:pPr>
      <w:r w:rsidRPr="005A7B7B">
        <w:t>Výrazná změna podílů mandatorních výdajů vyplývajících ze zákona a quasi mandatorních výdajů mezi roky 2023 a 2024 byla způsobena zejména tím, že meziročně došlo k přesunu zatřídění výdajů kapitoly Ministerstvo obrany ze souboru sledovaného jako quasi mandatorní do souboru mandatorní výdaje. Tento přesun se realizoval v návaznosti na zákonné ukotvení povinnosti rozpočtovat výdaje na obranu státu v minimální výši 2 % HDP</w:t>
      </w:r>
      <w:r>
        <w:t>.</w:t>
      </w:r>
    </w:p>
    <w:p w:rsidR="00E11515" w:rsidRPr="00E11515" w:rsidRDefault="00E11515" w:rsidP="00E11515">
      <w:pPr>
        <w:rPr>
          <w:highlight w:val="cyan"/>
        </w:rPr>
        <w:sectPr w:rsidR="00E11515" w:rsidRPr="00E11515" w:rsidSect="00D81709">
          <w:type w:val="continuous"/>
          <w:pgSz w:w="11906" w:h="16838" w:code="9"/>
          <w:pgMar w:top="1134" w:right="1134" w:bottom="1418" w:left="1134" w:header="709" w:footer="709" w:gutter="0"/>
          <w:cols w:num="2" w:space="566"/>
          <w:docGrid w:linePitch="360"/>
        </w:sectPr>
      </w:pPr>
    </w:p>
    <w:p w:rsidR="00E11515" w:rsidRPr="00E718F6" w:rsidRDefault="00E11515" w:rsidP="0033216C">
      <w:pPr>
        <w:pStyle w:val="SRtitulek1"/>
      </w:pPr>
      <w:bookmarkStart w:id="89" w:name="_Toc145662004"/>
      <w:bookmarkStart w:id="90" w:name="_Toc175914453"/>
      <w:r w:rsidRPr="00E718F6">
        <w:t xml:space="preserve">Tabulka </w:t>
      </w:r>
      <w:fldSimple w:instr=" SEQ Tabulka \* ARABIC ">
        <w:r w:rsidR="001773BF">
          <w:rPr>
            <w:noProof/>
          </w:rPr>
          <w:t>13</w:t>
        </w:r>
      </w:fldSimple>
      <w:r w:rsidRPr="00E718F6">
        <w:t xml:space="preserve"> Podíl mandatorních výdajů </w:t>
      </w:r>
      <w:r w:rsidR="00B41B04">
        <w:t xml:space="preserve">vyplývajících ze zákona a ostatních mandatorních </w:t>
      </w:r>
      <w:r w:rsidRPr="00E718F6">
        <w:t xml:space="preserve">a quasi MV na celkových výdajích </w:t>
      </w:r>
      <w:r w:rsidR="00422766" w:rsidRPr="00E718F6">
        <w:t>státní rozpočtu bez EU/FM a účetních operací PRV</w:t>
      </w:r>
      <w:r w:rsidRPr="00E718F6">
        <w:t xml:space="preserve"> </w:t>
      </w:r>
      <w:r w:rsidR="00A37DAE">
        <w:t>201</w:t>
      </w:r>
      <w:r w:rsidR="002D3947">
        <w:t>9</w:t>
      </w:r>
      <w:r w:rsidR="00A37DAE">
        <w:t xml:space="preserve"> – 2027 </w:t>
      </w:r>
      <w:r w:rsidRPr="00E718F6">
        <w:rPr>
          <w:i/>
        </w:rPr>
        <w:t>(v mld. Kč)</w:t>
      </w:r>
      <w:bookmarkEnd w:id="89"/>
      <w:bookmarkEnd w:id="90"/>
    </w:p>
    <w:p w:rsidR="00E11515" w:rsidRPr="00E11515" w:rsidRDefault="000F50F7" w:rsidP="00E11515">
      <w:r w:rsidRPr="000F50F7">
        <w:rPr>
          <w:noProof/>
          <w:lang w:val="en-US" w:eastAsia="en-US"/>
        </w:rPr>
        <w:drawing>
          <wp:inline distT="0" distB="0" distL="0" distR="0">
            <wp:extent cx="6120130" cy="1199253"/>
            <wp:effectExtent l="0" t="0" r="0" b="1270"/>
            <wp:docPr id="30" name="Obráze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6120130" cy="1199253"/>
                    </a:xfrm>
                    <a:prstGeom prst="rect">
                      <a:avLst/>
                    </a:prstGeom>
                    <a:noFill/>
                    <a:ln>
                      <a:noFill/>
                    </a:ln>
                  </pic:spPr>
                </pic:pic>
              </a:graphicData>
            </a:graphic>
          </wp:inline>
        </w:drawing>
      </w:r>
    </w:p>
    <w:p w:rsidR="00E11515" w:rsidRPr="00E11515" w:rsidRDefault="00E11515" w:rsidP="00E11515">
      <w:pPr>
        <w:rPr>
          <w:highlight w:val="cyan"/>
        </w:rPr>
        <w:sectPr w:rsidR="00E11515" w:rsidRPr="00E11515" w:rsidSect="00576069">
          <w:type w:val="continuous"/>
          <w:pgSz w:w="11906" w:h="16838" w:code="9"/>
          <w:pgMar w:top="1134" w:right="1134" w:bottom="1418" w:left="1134" w:header="709" w:footer="709" w:gutter="0"/>
          <w:cols w:space="709"/>
          <w:docGrid w:linePitch="360"/>
        </w:sectPr>
      </w:pPr>
    </w:p>
    <w:p w:rsidR="00E11515" w:rsidRPr="00E11515" w:rsidRDefault="00E11515" w:rsidP="0033216C">
      <w:pPr>
        <w:pStyle w:val="SRtitulek1"/>
      </w:pPr>
      <w:bookmarkStart w:id="91" w:name="_Toc115424551"/>
      <w:r w:rsidRPr="00BA631F">
        <w:lastRenderedPageBreak/>
        <w:t xml:space="preserve">Graf </w:t>
      </w:r>
      <w:fldSimple w:instr=" SEQ Graf \* ARABIC ">
        <w:r w:rsidR="001773BF">
          <w:rPr>
            <w:noProof/>
          </w:rPr>
          <w:t>13</w:t>
        </w:r>
      </w:fldSimple>
      <w:r w:rsidRPr="00BA631F">
        <w:t xml:space="preserve"> Vývoj podílu mandatorních výdajů na celkových výdajích</w:t>
      </w:r>
      <w:r w:rsidR="009A4C4B">
        <w:t xml:space="preserve"> státního rozpočtu </w:t>
      </w:r>
      <w:r w:rsidR="00FF4C45">
        <w:t>b</w:t>
      </w:r>
      <w:r w:rsidR="009A4C4B">
        <w:t>ez EU/FM/PRV</w:t>
      </w:r>
      <w:r w:rsidRPr="00BA631F">
        <w:t xml:space="preserve"> 201</w:t>
      </w:r>
      <w:r w:rsidR="002D3947">
        <w:t>9</w:t>
      </w:r>
      <w:r w:rsidR="00A37DAE">
        <w:t xml:space="preserve"> - </w:t>
      </w:r>
      <w:r w:rsidRPr="00BA631F">
        <w:t>202</w:t>
      </w:r>
      <w:r w:rsidR="00D3290C">
        <w:t>7</w:t>
      </w:r>
      <w:r w:rsidRPr="00BA631F">
        <w:t xml:space="preserve"> </w:t>
      </w:r>
      <w:r w:rsidRPr="00BA631F">
        <w:rPr>
          <w:i/>
        </w:rPr>
        <w:t>(v %)</w:t>
      </w:r>
      <w:bookmarkEnd w:id="91"/>
    </w:p>
    <w:p w:rsidR="00E11515" w:rsidRPr="00E11515" w:rsidRDefault="000F50F7" w:rsidP="00E11515">
      <w:r>
        <w:rPr>
          <w:noProof/>
          <w:lang w:val="en-US" w:eastAsia="en-US"/>
        </w:rPr>
        <w:drawing>
          <wp:inline distT="0" distB="0" distL="0" distR="0" wp14:anchorId="0C6154FE">
            <wp:extent cx="6062400" cy="2901600"/>
            <wp:effectExtent l="0" t="0" r="0" b="0"/>
            <wp:docPr id="58" name="Obrázek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062400" cy="2901600"/>
                    </a:xfrm>
                    <a:prstGeom prst="rect">
                      <a:avLst/>
                    </a:prstGeom>
                    <a:noFill/>
                  </pic:spPr>
                </pic:pic>
              </a:graphicData>
            </a:graphic>
          </wp:inline>
        </w:drawing>
      </w:r>
    </w:p>
    <w:p w:rsidR="00E11515" w:rsidRPr="00E11515" w:rsidRDefault="00E11515" w:rsidP="00E11515">
      <w:pPr>
        <w:rPr>
          <w:highlight w:val="cyan"/>
        </w:rPr>
        <w:sectPr w:rsidR="00E11515" w:rsidRPr="00E11515" w:rsidSect="00576069">
          <w:type w:val="continuous"/>
          <w:pgSz w:w="11906" w:h="16838" w:code="9"/>
          <w:pgMar w:top="1134" w:right="1134" w:bottom="1418" w:left="1134" w:header="709" w:footer="709" w:gutter="0"/>
          <w:cols w:space="709"/>
          <w:docGrid w:linePitch="360"/>
        </w:sectPr>
      </w:pPr>
    </w:p>
    <w:p w:rsidR="00E11515" w:rsidRPr="00E11515" w:rsidRDefault="00E11515" w:rsidP="00E11515">
      <w:pPr>
        <w:sectPr w:rsidR="00E11515" w:rsidRPr="00E11515" w:rsidSect="00D81709">
          <w:type w:val="continuous"/>
          <w:pgSz w:w="11906" w:h="16838" w:code="9"/>
          <w:pgMar w:top="1134" w:right="1134" w:bottom="1418" w:left="1134" w:header="709" w:footer="709" w:gutter="0"/>
          <w:cols w:num="2" w:space="282"/>
          <w:docGrid w:linePitch="360"/>
        </w:sectPr>
      </w:pPr>
    </w:p>
    <w:p w:rsidR="00E11515" w:rsidRPr="00D74F22" w:rsidRDefault="00E11515" w:rsidP="0033216C">
      <w:pPr>
        <w:pStyle w:val="SRtitulek1"/>
      </w:pPr>
      <w:bookmarkStart w:id="92" w:name="_Toc145662005"/>
      <w:bookmarkStart w:id="93" w:name="_Toc175914454"/>
      <w:r w:rsidRPr="00E718F6">
        <w:t xml:space="preserve">Tabulka </w:t>
      </w:r>
      <w:fldSimple w:instr=" SEQ Tabulka \* ARABIC ">
        <w:r w:rsidR="001773BF">
          <w:rPr>
            <w:noProof/>
          </w:rPr>
          <w:t>14</w:t>
        </w:r>
      </w:fldSimple>
      <w:r w:rsidRPr="00E718F6">
        <w:t xml:space="preserve"> </w:t>
      </w:r>
      <w:r w:rsidR="00D412FD">
        <w:t>M</w:t>
      </w:r>
      <w:r w:rsidRPr="00E718F6">
        <w:t>andatorní výdaj</w:t>
      </w:r>
      <w:r w:rsidR="00D412FD">
        <w:t>e</w:t>
      </w:r>
      <w:bookmarkEnd w:id="92"/>
      <w:r w:rsidR="00697639" w:rsidRPr="00E718F6">
        <w:t xml:space="preserve"> bez EU/FM a účetních operací PRV</w:t>
      </w:r>
      <w:r w:rsidR="00A37DAE">
        <w:t xml:space="preserve"> 201</w:t>
      </w:r>
      <w:r w:rsidR="002D3947">
        <w:t>9</w:t>
      </w:r>
      <w:r w:rsidR="00AF6501">
        <w:t xml:space="preserve"> – </w:t>
      </w:r>
      <w:r w:rsidR="00A37DAE">
        <w:t>2027</w:t>
      </w:r>
      <w:bookmarkEnd w:id="93"/>
    </w:p>
    <w:p w:rsidR="00E11515" w:rsidRPr="00E718F6" w:rsidRDefault="000F50F7" w:rsidP="00E11515">
      <w:pPr>
        <w:rPr>
          <w:i/>
        </w:rPr>
      </w:pPr>
      <w:r w:rsidRPr="000F50F7">
        <w:rPr>
          <w:noProof/>
          <w:lang w:val="en-US" w:eastAsia="en-US"/>
        </w:rPr>
        <w:drawing>
          <wp:inline distT="0" distB="0" distL="0" distR="0">
            <wp:extent cx="6120130" cy="1307800"/>
            <wp:effectExtent l="0" t="0" r="0" b="6985"/>
            <wp:docPr id="64" name="Obrázek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6120130" cy="1307800"/>
                    </a:xfrm>
                    <a:prstGeom prst="rect">
                      <a:avLst/>
                    </a:prstGeom>
                    <a:noFill/>
                    <a:ln>
                      <a:noFill/>
                    </a:ln>
                  </pic:spPr>
                </pic:pic>
              </a:graphicData>
            </a:graphic>
          </wp:inline>
        </w:drawing>
      </w:r>
    </w:p>
    <w:p w:rsidR="00E11515" w:rsidRPr="00D74F22" w:rsidRDefault="00E11515" w:rsidP="0033216C">
      <w:pPr>
        <w:pStyle w:val="SRtitulek1"/>
      </w:pPr>
      <w:bookmarkStart w:id="94" w:name="_Toc115424552"/>
      <w:r w:rsidRPr="00E718F6">
        <w:lastRenderedPageBreak/>
        <w:t xml:space="preserve">Graf </w:t>
      </w:r>
      <w:fldSimple w:instr=" SEQ Graf \* ARABIC ">
        <w:r w:rsidR="001773BF">
          <w:rPr>
            <w:noProof/>
          </w:rPr>
          <w:t>14</w:t>
        </w:r>
      </w:fldSimple>
      <w:r w:rsidRPr="00E718F6">
        <w:t xml:space="preserve"> </w:t>
      </w:r>
      <w:r w:rsidR="009A4C4B">
        <w:t>Vývoj p</w:t>
      </w:r>
      <w:r w:rsidRPr="00E718F6">
        <w:t>odíl</w:t>
      </w:r>
      <w:r w:rsidR="009A4C4B">
        <w:t>u</w:t>
      </w:r>
      <w:r w:rsidRPr="00E718F6">
        <w:t xml:space="preserve"> mandatorních výdajů </w:t>
      </w:r>
      <w:r w:rsidR="00697639" w:rsidRPr="00E718F6">
        <w:t>na</w:t>
      </w:r>
      <w:r w:rsidRPr="00E718F6">
        <w:t xml:space="preserve"> příjmech státního rozpočtu</w:t>
      </w:r>
      <w:bookmarkEnd w:id="94"/>
      <w:r w:rsidR="00697639" w:rsidRPr="00E718F6">
        <w:t xml:space="preserve"> bez EU/FM/PRV </w:t>
      </w:r>
      <w:r w:rsidR="00A37DAE">
        <w:t>201</w:t>
      </w:r>
      <w:r w:rsidR="002D3947">
        <w:t>9</w:t>
      </w:r>
      <w:r w:rsidR="00A37DAE">
        <w:t xml:space="preserve"> </w:t>
      </w:r>
      <w:r w:rsidR="00AF6501">
        <w:t>–</w:t>
      </w:r>
      <w:r w:rsidR="00A37DAE">
        <w:t xml:space="preserve"> 2027</w:t>
      </w:r>
      <w:r w:rsidR="007642A2">
        <w:t xml:space="preserve"> </w:t>
      </w:r>
      <w:r w:rsidR="00697639" w:rsidRPr="00E718F6">
        <w:rPr>
          <w:i/>
        </w:rPr>
        <w:t>(v %)</w:t>
      </w:r>
    </w:p>
    <w:p w:rsidR="008C0DD5" w:rsidRDefault="000F50F7" w:rsidP="009E6928">
      <w:r>
        <w:rPr>
          <w:noProof/>
          <w:lang w:val="en-US" w:eastAsia="en-US"/>
        </w:rPr>
        <w:drawing>
          <wp:inline distT="0" distB="0" distL="0" distR="0" wp14:anchorId="376E41E5">
            <wp:extent cx="6066000" cy="4096800"/>
            <wp:effectExtent l="0" t="0" r="0" b="0"/>
            <wp:docPr id="71" name="Obrázek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6066000" cy="4096800"/>
                    </a:xfrm>
                    <a:prstGeom prst="rect">
                      <a:avLst/>
                    </a:prstGeom>
                    <a:noFill/>
                  </pic:spPr>
                </pic:pic>
              </a:graphicData>
            </a:graphic>
          </wp:inline>
        </w:drawing>
      </w:r>
    </w:p>
    <w:p w:rsidR="00E11515" w:rsidRPr="00DF36CE" w:rsidRDefault="00E11515" w:rsidP="00E11515">
      <w:pPr>
        <w:sectPr w:rsidR="00E11515" w:rsidRPr="00DF36CE" w:rsidSect="00576069">
          <w:type w:val="continuous"/>
          <w:pgSz w:w="11906" w:h="16838" w:code="9"/>
          <w:pgMar w:top="1134" w:right="1134" w:bottom="1418" w:left="1134" w:header="709" w:footer="709" w:gutter="0"/>
          <w:cols w:space="709"/>
          <w:docGrid w:linePitch="360"/>
        </w:sectPr>
      </w:pPr>
    </w:p>
    <w:p w:rsidR="00E11515" w:rsidRPr="00E11515" w:rsidRDefault="00E11515" w:rsidP="00576069">
      <w:pPr>
        <w:pStyle w:val="Nadpis3"/>
      </w:pPr>
      <w:bookmarkStart w:id="95" w:name="_Toc52369407"/>
      <w:bookmarkStart w:id="96" w:name="_Toc112771417"/>
      <w:bookmarkStart w:id="97" w:name="_Toc145662057"/>
      <w:r w:rsidRPr="00E11515">
        <w:t>Mandatorní sociální výdaje</w:t>
      </w:r>
      <w:bookmarkEnd w:id="95"/>
      <w:bookmarkEnd w:id="96"/>
      <w:bookmarkEnd w:id="97"/>
    </w:p>
    <w:p w:rsidR="00E11515" w:rsidRPr="00E11515" w:rsidRDefault="00E11515" w:rsidP="00E11515">
      <w:pPr>
        <w:keepNext/>
        <w:keepLines/>
        <w:numPr>
          <w:ilvl w:val="1"/>
          <w:numId w:val="0"/>
        </w:numPr>
        <w:pBdr>
          <w:bottom w:val="single" w:sz="12" w:space="1" w:color="E5DFEC"/>
        </w:pBdr>
        <w:tabs>
          <w:tab w:val="num" w:pos="851"/>
        </w:tabs>
        <w:spacing w:before="360" w:after="240"/>
        <w:ind w:left="851" w:hanging="851"/>
        <w:jc w:val="left"/>
        <w:outlineLvl w:val="1"/>
        <w:rPr>
          <w:rFonts w:cs="Arial"/>
          <w:b/>
          <w:bCs/>
          <w:iCs/>
          <w:sz w:val="28"/>
          <w:szCs w:val="28"/>
        </w:rPr>
        <w:sectPr w:rsidR="00E11515" w:rsidRPr="00E11515" w:rsidSect="00576069">
          <w:type w:val="continuous"/>
          <w:pgSz w:w="11906" w:h="16838" w:code="9"/>
          <w:pgMar w:top="1134" w:right="1134" w:bottom="1418" w:left="1134" w:header="709" w:footer="709" w:gutter="0"/>
          <w:cols w:space="709"/>
          <w:docGrid w:linePitch="360"/>
        </w:sectPr>
      </w:pPr>
    </w:p>
    <w:p w:rsidR="00FC5165" w:rsidRDefault="00FC5165" w:rsidP="00FC5165">
      <w:pPr>
        <w:pStyle w:val="SRTextnomal"/>
      </w:pPr>
      <w:r>
        <w:t>Aktualizace schváleného výhledu na rok 2026 a návrh výhledu na rok 2027 vychází z legislativních a metodických úprav, které byly promítnuty již do odhadů jednotlivých výdajových položek v návrhu státního rozpočtu na rok 2025 spolu se zohledněním vlivu predikce makroekonomických ukazatelů ze srpna 2024.</w:t>
      </w:r>
    </w:p>
    <w:p w:rsidR="00FC5165" w:rsidRDefault="00FC5165" w:rsidP="00FC5165">
      <w:pPr>
        <w:pStyle w:val="SRTextnomal"/>
      </w:pPr>
      <w:r>
        <w:t>Do návrhu rozpočtového výhledu na roky 2026 a 2027 byly promítnuty úpravy sociální legislativy, které postupně nabývají účinnosti. Jedná se například o zvýšení příspěvku na péči, příspěvku na podporu zaměstnávání osob se zdravotním postižením či úprav</w:t>
      </w:r>
      <w:r w:rsidR="00EC2714">
        <w:t>u</w:t>
      </w:r>
      <w:r>
        <w:t xml:space="preserve"> dávek v oblasti náhradní péče o děti.</w:t>
      </w:r>
    </w:p>
    <w:p w:rsidR="00FC5165" w:rsidRDefault="00FC5165" w:rsidP="00FC5165">
      <w:pPr>
        <w:pStyle w:val="SRTextnomal"/>
      </w:pPr>
      <w:r>
        <w:t xml:space="preserve">Odhad výdajů sledovaného souboru sociálních výdajů na rok 2026 je ve výhledu zapracován v celkové částce 1 132,4 mld. Kč a na celkových výdajích státního rozpočtu bez EU a FM se podílí 51,7 %. Návrh výdajů na rok 2026 je oproti návrhu výdajů na rok 2025 vyšší o 36,3 mld. Kč. Odhad výdajů na jednotlivé dávkové tituly byl zpřesněn </w:t>
      </w:r>
      <w:r>
        <w:t xml:space="preserve">podle jednotlivých výdajových položek na základě očekávané skutečnosti roku 2024 a návrhu rozpočtu na rok 2025. Výrazný nárůst je především u dávek důchodového pojištění o 29,4 mld. Kč, což je způsobeno zejména zákonnou automatickou valorizací. Dále se jedná </w:t>
      </w:r>
      <w:r w:rsidR="005F110B">
        <w:t>nárůst</w:t>
      </w:r>
      <w:r>
        <w:t xml:space="preserve"> platb</w:t>
      </w:r>
      <w:r w:rsidR="005F110B">
        <w:t>y</w:t>
      </w:r>
      <w:r>
        <w:t xml:space="preserve"> do veřejného zdravotního pojištění za osoby, za které pojistné hradí stát, o 7,4 mld. Kč, což je způsobeno zákonnou automatickou valorizací vyměřovacího základu, poprvé účinnou od 1. ledna 2024. Zvyšují se také výdaje na dávky nemocenského pojištění o 4,5 mld. Kč, což je způsobeno především autonomním vývojem.</w:t>
      </w:r>
    </w:p>
    <w:p w:rsidR="00E11515" w:rsidRPr="00E11515" w:rsidRDefault="00FC5165" w:rsidP="002438AB">
      <w:pPr>
        <w:pStyle w:val="SRTextnomal"/>
      </w:pPr>
      <w:r>
        <w:t>Odhad celkových výdajů na sociální transfery a služby zaměstnanosti je ve výhledu na rok 2027 zapracován v celkové výši 1 157,6 mld. Kč s meziročním tempem růstu 2,2</w:t>
      </w:r>
      <w:r w:rsidR="00B06164">
        <w:t> </w:t>
      </w:r>
      <w:r>
        <w:t>%, v absolutním vyjádření jsou výdaje roku 2027 oproti roku 2026 vyšší o 25,2 mld. Kč. Celkově odhadované výdaje na sociální transfery a služby zaměstnanosti na rok 2027 představují 52,0 % celkových výdajů státního rozpočtu bez prostředků EU a FM.</w:t>
      </w:r>
    </w:p>
    <w:p w:rsidR="00E11515" w:rsidRPr="00E11515" w:rsidRDefault="00E11515" w:rsidP="00E11515">
      <w:pPr>
        <w:spacing w:before="120"/>
        <w:rPr>
          <w:highlight w:val="cyan"/>
        </w:rPr>
        <w:sectPr w:rsidR="00E11515" w:rsidRPr="00E11515" w:rsidSect="00576069">
          <w:type w:val="continuous"/>
          <w:pgSz w:w="11906" w:h="16838" w:code="9"/>
          <w:pgMar w:top="1134" w:right="1134" w:bottom="1418" w:left="1134" w:header="709" w:footer="709" w:gutter="0"/>
          <w:cols w:num="2" w:space="397"/>
          <w:docGrid w:linePitch="360"/>
        </w:sectPr>
      </w:pPr>
    </w:p>
    <w:p w:rsidR="00E11515" w:rsidRPr="00E11515" w:rsidRDefault="00E11515" w:rsidP="00E11515">
      <w:pPr>
        <w:spacing w:before="120"/>
      </w:pPr>
    </w:p>
    <w:p w:rsidR="00E11515" w:rsidRPr="00E11515" w:rsidRDefault="00E11515" w:rsidP="00E11515">
      <w:pPr>
        <w:sectPr w:rsidR="00E11515" w:rsidRPr="00E11515" w:rsidSect="00576069">
          <w:type w:val="continuous"/>
          <w:pgSz w:w="11906" w:h="16838" w:code="9"/>
          <w:pgMar w:top="1134" w:right="1134" w:bottom="1418" w:left="1134" w:header="709" w:footer="709" w:gutter="0"/>
          <w:cols w:num="2" w:space="709"/>
          <w:docGrid w:linePitch="360"/>
        </w:sectPr>
      </w:pPr>
    </w:p>
    <w:p w:rsidR="00E11515" w:rsidRPr="00D74F22" w:rsidRDefault="00E11515" w:rsidP="0033216C">
      <w:pPr>
        <w:pStyle w:val="SRtitulek1"/>
      </w:pPr>
      <w:bookmarkStart w:id="98" w:name="_Toc145662006"/>
      <w:bookmarkStart w:id="99" w:name="_Toc20396576"/>
      <w:bookmarkStart w:id="100" w:name="_Toc20396686"/>
      <w:bookmarkStart w:id="101" w:name="_Toc20402338"/>
      <w:bookmarkStart w:id="102" w:name="_Toc20469607"/>
      <w:bookmarkStart w:id="103" w:name="_Toc20472061"/>
      <w:bookmarkStart w:id="104" w:name="_Toc20554493"/>
      <w:bookmarkStart w:id="105" w:name="_Toc20559874"/>
      <w:bookmarkStart w:id="106" w:name="_Toc20567134"/>
      <w:bookmarkStart w:id="107" w:name="_Toc175914455"/>
      <w:r w:rsidRPr="005D57D4">
        <w:lastRenderedPageBreak/>
        <w:t xml:space="preserve">Tabulka </w:t>
      </w:r>
      <w:fldSimple w:instr=" SEQ Tabulka \* ARABIC ">
        <w:r w:rsidR="001773BF">
          <w:rPr>
            <w:noProof/>
          </w:rPr>
          <w:t>15</w:t>
        </w:r>
      </w:fldSimple>
      <w:r w:rsidRPr="005D57D4">
        <w:t xml:space="preserve"> Přehled výhledu sociálních mandatorních výdajů podle jednotlivých výdajových segmentů v letech 2019 – 202</w:t>
      </w:r>
      <w:r w:rsidR="00DF0A1F">
        <w:t>7</w:t>
      </w:r>
      <w:r w:rsidRPr="005D57D4">
        <w:t xml:space="preserve"> </w:t>
      </w:r>
      <w:r w:rsidRPr="00E718F6">
        <w:rPr>
          <w:i/>
        </w:rPr>
        <w:t>(v mil. Kč)</w:t>
      </w:r>
      <w:bookmarkEnd w:id="98"/>
      <w:bookmarkEnd w:id="107"/>
    </w:p>
    <w:p w:rsidR="00E11515" w:rsidRPr="00E11515" w:rsidRDefault="00075CB7" w:rsidP="00E11515">
      <w:pPr>
        <w:rPr>
          <w:b/>
          <w:i/>
          <w:iCs/>
        </w:rPr>
      </w:pPr>
      <w:r w:rsidRPr="00075CB7">
        <w:drawing>
          <wp:inline distT="0" distB="0" distL="0" distR="0">
            <wp:extent cx="9071610" cy="3631858"/>
            <wp:effectExtent l="0" t="0" r="0" b="6985"/>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9071610" cy="3631858"/>
                    </a:xfrm>
                    <a:prstGeom prst="rect">
                      <a:avLst/>
                    </a:prstGeom>
                    <a:noFill/>
                    <a:ln>
                      <a:noFill/>
                    </a:ln>
                  </pic:spPr>
                </pic:pic>
              </a:graphicData>
            </a:graphic>
          </wp:inline>
        </w:drawing>
      </w:r>
      <w:r w:rsidR="00586FEB">
        <w:rPr>
          <w:i/>
          <w:iCs/>
        </w:rPr>
        <w:t>P</w:t>
      </w:r>
      <w:r w:rsidR="00E11515" w:rsidRPr="00E11515">
        <w:rPr>
          <w:i/>
          <w:iCs/>
        </w:rPr>
        <w:t>oznámka: *) nezahrnuje prostředky z EU a FM.</w:t>
      </w:r>
      <w:bookmarkEnd w:id="99"/>
      <w:bookmarkEnd w:id="100"/>
      <w:bookmarkEnd w:id="101"/>
      <w:bookmarkEnd w:id="102"/>
      <w:bookmarkEnd w:id="103"/>
      <w:bookmarkEnd w:id="104"/>
      <w:bookmarkEnd w:id="105"/>
      <w:bookmarkEnd w:id="106"/>
    </w:p>
    <w:p w:rsidR="00E11515" w:rsidRPr="00E11515" w:rsidRDefault="00E11515" w:rsidP="00E11515">
      <w:pPr>
        <w:rPr>
          <w:rFonts w:cs="Arial"/>
          <w:sz w:val="24"/>
          <w:szCs w:val="26"/>
        </w:rPr>
      </w:pPr>
    </w:p>
    <w:p w:rsidR="00E11515" w:rsidRPr="00E11515" w:rsidRDefault="00E11515" w:rsidP="00E11515">
      <w:pPr>
        <w:keepNext/>
        <w:numPr>
          <w:ilvl w:val="0"/>
          <w:numId w:val="1"/>
        </w:numPr>
        <w:spacing w:before="240" w:after="0"/>
        <w:ind w:left="0" w:firstLine="0"/>
        <w:outlineLvl w:val="2"/>
        <w:rPr>
          <w:rFonts w:cs="Arial"/>
          <w:b/>
          <w:bCs/>
          <w:sz w:val="24"/>
          <w:szCs w:val="26"/>
        </w:rPr>
        <w:sectPr w:rsidR="00E11515" w:rsidRPr="00E11515" w:rsidSect="00576069">
          <w:footerReference w:type="default" r:id="rId57"/>
          <w:pgSz w:w="16838" w:h="11906" w:orient="landscape" w:code="9"/>
          <w:pgMar w:top="1134" w:right="1134" w:bottom="1134" w:left="1418" w:header="709" w:footer="709" w:gutter="0"/>
          <w:cols w:space="709"/>
          <w:docGrid w:linePitch="360"/>
        </w:sectPr>
      </w:pPr>
    </w:p>
    <w:p w:rsidR="00E11515" w:rsidRPr="00B64A8D" w:rsidRDefault="00E11515" w:rsidP="00CD1DF6">
      <w:pPr>
        <w:pStyle w:val="Nadpis3"/>
      </w:pPr>
      <w:bookmarkStart w:id="108" w:name="_Toc52369408"/>
      <w:bookmarkStart w:id="109" w:name="_Toc112771418"/>
      <w:bookmarkStart w:id="110" w:name="_Toc145662058"/>
      <w:r w:rsidRPr="00B64A8D">
        <w:lastRenderedPageBreak/>
        <w:t>Výdaje na platy a ostatní platby za provedenou práci</w:t>
      </w:r>
      <w:bookmarkEnd w:id="108"/>
      <w:bookmarkEnd w:id="109"/>
      <w:bookmarkEnd w:id="110"/>
    </w:p>
    <w:p w:rsidR="00E11515" w:rsidRPr="00E11515" w:rsidRDefault="00E11515" w:rsidP="00E11515">
      <w:pPr>
        <w:rPr>
          <w:highlight w:val="cyan"/>
        </w:rPr>
        <w:sectPr w:rsidR="00E11515" w:rsidRPr="00E11515" w:rsidSect="00576069">
          <w:footerReference w:type="default" r:id="rId58"/>
          <w:pgSz w:w="11906" w:h="16838" w:code="9"/>
          <w:pgMar w:top="1134" w:right="1134" w:bottom="1418" w:left="1134" w:header="709" w:footer="709" w:gutter="0"/>
          <w:cols w:space="397"/>
          <w:docGrid w:linePitch="360"/>
        </w:sectPr>
      </w:pPr>
    </w:p>
    <w:p w:rsidR="00324D79" w:rsidRDefault="00324D79" w:rsidP="00324D79">
      <w:pPr>
        <w:pStyle w:val="SRTextnomal"/>
      </w:pPr>
      <w:r>
        <w:t>Ve střednědobém výhledu na roky 2026 a 2027 není uvažováno s meziročním plošným nárůstem objemu prostředků na platy a ostatní platby za provedenou práci (ostatní osobní náklady). Střednědobý výhled dále neobsahuje prostředky spolufinancování</w:t>
      </w:r>
      <w:r w:rsidR="000C666D">
        <w:t xml:space="preserve"> z nadnárodních zdrojů (EU/FM).</w:t>
      </w:r>
    </w:p>
    <w:p w:rsidR="00324D79" w:rsidRDefault="00324D79" w:rsidP="00324D79">
      <w:pPr>
        <w:pStyle w:val="SRTextnomal"/>
      </w:pPr>
      <w:r>
        <w:t>V samotném návrhu střednědobého výhledu jsou pak zapracovány jednak vlivy, které vycházejí z parametrů střednědobého výhledu na rok 2026, který byl schválen usnesením vlády ze dne 27. září 2023 č. 703, a dále vlivy, které byly zapracovány v letošním roce.</w:t>
      </w:r>
    </w:p>
    <w:p w:rsidR="00324D79" w:rsidRDefault="00324D79" w:rsidP="00324D79">
      <w:pPr>
        <w:pStyle w:val="SRTextnomal"/>
      </w:pPr>
      <w:r>
        <w:t>Proti parametrům rozpočtu schváleného na rok 2025 (očištěného o vliv EU/FM) dochází v roce 2026 k meziročnímu zvýšení objemu prostředků na platy a ostatní platby za provedenou práci o 126 mil. Kč a zvýšení počtu míst o 1</w:t>
      </w:r>
      <w:r w:rsidR="00995FA0">
        <w:t> </w:t>
      </w:r>
      <w:r>
        <w:t xml:space="preserve">060. Tyto meziroční změny jsou vyvolány zejména následujícími vlivy.  </w:t>
      </w:r>
    </w:p>
    <w:p w:rsidR="00324D79" w:rsidRDefault="00324D79" w:rsidP="00324D79">
      <w:pPr>
        <w:pStyle w:val="SRTextnomal"/>
      </w:pPr>
      <w:r>
        <w:t>V kapitole Ministerstvo obrany je promítnuta změna, která souvisí s pokračující výstavbou Armády ČR. Pro rok 2026 se očekává růst počtu míst vojáků z povolání o</w:t>
      </w:r>
      <w:r w:rsidR="00995FA0">
        <w:t> </w:t>
      </w:r>
      <w:r>
        <w:t>1 100, počet míst obslužného aparátu pak o 100, a to včetně navýšení souvisejícího objemu prostředků na</w:t>
      </w:r>
      <w:r w:rsidR="00995FA0">
        <w:t> </w:t>
      </w:r>
      <w:r>
        <w:t>platy v celkové výši 0,63 mld. Kč.</w:t>
      </w:r>
    </w:p>
    <w:p w:rsidR="00324D79" w:rsidRDefault="00324D79" w:rsidP="00324D79">
      <w:pPr>
        <w:pStyle w:val="SRTextnomal"/>
      </w:pPr>
      <w:r>
        <w:t>V kapitole Ministerstvo spravedlnosti dochází k navýšení objemu prostředků na platy v celkové výši 82,1</w:t>
      </w:r>
      <w:r w:rsidR="00995FA0">
        <w:t xml:space="preserve"> </w:t>
      </w:r>
      <w:r>
        <w:t>mil.</w:t>
      </w:r>
      <w:r w:rsidR="00995FA0">
        <w:t xml:space="preserve"> </w:t>
      </w:r>
      <w:r>
        <w:t>Kč na platy zaměstnanců státních zastupitelství.</w:t>
      </w:r>
    </w:p>
    <w:p w:rsidR="00324D79" w:rsidRDefault="00324D79" w:rsidP="00324D79">
      <w:pPr>
        <w:pStyle w:val="SRTextnomal"/>
      </w:pPr>
      <w:r>
        <w:t>V kapitole Ministerstvo průmyslu a obchodu dochází k odpočtu jednoročního vlivu na vědu a výzkum v celkové výši 36,4</w:t>
      </w:r>
      <w:r w:rsidR="00415244">
        <w:t xml:space="preserve"> </w:t>
      </w:r>
      <w:r>
        <w:t>mil.</w:t>
      </w:r>
      <w:r w:rsidR="0081554F">
        <w:t xml:space="preserve"> </w:t>
      </w:r>
      <w:r>
        <w:t>Kč a snížení počtu míst o 0,4.</w:t>
      </w:r>
    </w:p>
    <w:p w:rsidR="00324D79" w:rsidRDefault="00324D79" w:rsidP="00324D79">
      <w:pPr>
        <w:pStyle w:val="SRTextnomal"/>
      </w:pPr>
      <w:r>
        <w:t>V kapitole Ministerstvo kultury dochází k odpočtu jednoročního vlivu na vědu a výzkum v celkové výši 4,8</w:t>
      </w:r>
      <w:r w:rsidR="00995FA0">
        <w:t xml:space="preserve"> </w:t>
      </w:r>
      <w:r>
        <w:t>mil.</w:t>
      </w:r>
      <w:r w:rsidR="00995FA0">
        <w:t xml:space="preserve"> </w:t>
      </w:r>
      <w:r>
        <w:t>Kč z toho prostředky na platy ve výši 3,9</w:t>
      </w:r>
      <w:r w:rsidR="00415244">
        <w:t xml:space="preserve"> </w:t>
      </w:r>
      <w:r>
        <w:t>mil.</w:t>
      </w:r>
      <w:r w:rsidR="00FC074B">
        <w:t xml:space="preserve"> </w:t>
      </w:r>
      <w:r>
        <w:t>Kč a prostředky na ostatní platby za provedenou práci ve výši 992</w:t>
      </w:r>
      <w:r w:rsidR="00995FA0">
        <w:t xml:space="preserve"> </w:t>
      </w:r>
      <w:r>
        <w:t>tis.</w:t>
      </w:r>
      <w:r w:rsidR="00995FA0">
        <w:t xml:space="preserve"> </w:t>
      </w:r>
      <w:r>
        <w:t>Kč a snížení počtu míst o 3,9.</w:t>
      </w:r>
    </w:p>
    <w:p w:rsidR="00324D79" w:rsidRDefault="00324D79" w:rsidP="00324D79">
      <w:pPr>
        <w:pStyle w:val="SRTextnomal"/>
      </w:pPr>
      <w:r>
        <w:t>V kapitole Úřad vlády dochází ke snížení objemu prostředků na ostatní platby za provedenou práci v celkové výši 4</w:t>
      </w:r>
      <w:r w:rsidR="00995FA0">
        <w:t xml:space="preserve"> </w:t>
      </w:r>
      <w:r>
        <w:t>mil.</w:t>
      </w:r>
      <w:r w:rsidR="00995FA0">
        <w:t xml:space="preserve"> </w:t>
      </w:r>
      <w:r>
        <w:t>Kč, které byly stanoveny jako jednoroční vliv.</w:t>
      </w:r>
    </w:p>
    <w:p w:rsidR="00324D79" w:rsidRDefault="00324D79" w:rsidP="00324D79">
      <w:pPr>
        <w:pStyle w:val="SRTextnomal"/>
      </w:pPr>
      <w:r>
        <w:t>Proti parametrům schváleného střednědobého výhledu na rok 2026 dochází v roce 2027 k meziročnímu zvýšení objemu prostředků na platy a ostatní platby za provedenou práci o 441 mil. Kč a počtu míst o 1</w:t>
      </w:r>
      <w:r w:rsidR="00995FA0">
        <w:t> </w:t>
      </w:r>
      <w:r>
        <w:t xml:space="preserve">014. Tento vývoj je zapříčiněn promítnutím následujících vlivů. </w:t>
      </w:r>
    </w:p>
    <w:p w:rsidR="00324D79" w:rsidRDefault="00324D79" w:rsidP="00324D79">
      <w:pPr>
        <w:pStyle w:val="SRTextnomal"/>
      </w:pPr>
      <w:r>
        <w:t>V kapitole Ministerstvo obrany je promítnuta změna, která souvisí s pokračující výstavbou Armády ČR. Pro rok 2027 se navyšuje počet míst vojáků z povolání o 1 100, počet míst obslužného aparátu pak o 100, a to včetně navýšení souvisejícího objemu prostředků na platy v celkové výši 0,64 mld. Kč.</w:t>
      </w:r>
    </w:p>
    <w:p w:rsidR="00324D79" w:rsidRDefault="00324D79" w:rsidP="00324D79">
      <w:pPr>
        <w:pStyle w:val="SRTextnomal"/>
      </w:pPr>
      <w:r>
        <w:t>V kapitole Ministerstvo vnitra dochází ke snížení objemu prostředků na ostatní platby za provedenou práci v celkové výši 21,4</w:t>
      </w:r>
      <w:r w:rsidR="00995FA0">
        <w:t xml:space="preserve"> </w:t>
      </w:r>
      <w:r>
        <w:t>mil.</w:t>
      </w:r>
      <w:r w:rsidR="00995FA0">
        <w:t xml:space="preserve"> </w:t>
      </w:r>
      <w:r>
        <w:t>Kč v souvislosti s vlivem správy vnějších hranic Unie a harmonizaci hraničních kontrol (Frontex).</w:t>
      </w:r>
    </w:p>
    <w:p w:rsidR="00324D79" w:rsidRPr="0078590D" w:rsidRDefault="00324D79" w:rsidP="00324D79">
      <w:pPr>
        <w:pStyle w:val="SRTextnomal"/>
      </w:pPr>
      <w:r>
        <w:t>Napříč kapitolami dochází k navýšení objemu prostředků na platy v návaznosti na ukončení Národního plánu obnovy v celkové výši 47,8</w:t>
      </w:r>
      <w:r w:rsidR="00415244">
        <w:t xml:space="preserve"> </w:t>
      </w:r>
      <w:r>
        <w:t>mil.</w:t>
      </w:r>
      <w:r w:rsidR="0081554F">
        <w:t xml:space="preserve"> </w:t>
      </w:r>
      <w:r>
        <w:t xml:space="preserve">Kč a počtu míst </w:t>
      </w:r>
      <w:r w:rsidR="00DA739B">
        <w:t xml:space="preserve">o </w:t>
      </w:r>
      <w:r>
        <w:t>20.</w:t>
      </w:r>
    </w:p>
    <w:p w:rsidR="00E11515" w:rsidRPr="00E11515" w:rsidRDefault="00E11515" w:rsidP="00E11515">
      <w:pPr>
        <w:sectPr w:rsidR="00E11515" w:rsidRPr="00E11515" w:rsidSect="00576069">
          <w:type w:val="continuous"/>
          <w:pgSz w:w="11906" w:h="16838" w:code="9"/>
          <w:pgMar w:top="1134" w:right="1134" w:bottom="1418" w:left="1134" w:header="709" w:footer="709" w:gutter="0"/>
          <w:cols w:num="2" w:space="397"/>
          <w:docGrid w:linePitch="360"/>
        </w:sectPr>
      </w:pPr>
      <w:bookmarkStart w:id="111" w:name="_GoBack"/>
      <w:bookmarkEnd w:id="111"/>
    </w:p>
    <w:p w:rsidR="00E11515" w:rsidRPr="00E11515" w:rsidRDefault="00E11515" w:rsidP="00E11515">
      <w:pPr>
        <w:sectPr w:rsidR="00E11515" w:rsidRPr="00E11515" w:rsidSect="00576069">
          <w:type w:val="continuous"/>
          <w:pgSz w:w="11906" w:h="16838" w:code="9"/>
          <w:pgMar w:top="1134" w:right="1134" w:bottom="1418" w:left="1134" w:header="709" w:footer="709" w:gutter="0"/>
          <w:cols w:space="397"/>
          <w:docGrid w:linePitch="360"/>
        </w:sectPr>
      </w:pPr>
    </w:p>
    <w:p w:rsidR="00E11515" w:rsidRPr="00D74F22" w:rsidRDefault="00E11515" w:rsidP="0033216C">
      <w:pPr>
        <w:pStyle w:val="SRtitulek1"/>
      </w:pPr>
      <w:bookmarkStart w:id="112" w:name="_Toc145662007"/>
      <w:bookmarkStart w:id="113" w:name="_Toc175914456"/>
      <w:r w:rsidRPr="0069422B">
        <w:t xml:space="preserve">Tabulka </w:t>
      </w:r>
      <w:fldSimple w:instr=" SEQ Tabulka \* ARABIC ">
        <w:r w:rsidR="001773BF">
          <w:rPr>
            <w:noProof/>
          </w:rPr>
          <w:t>16</w:t>
        </w:r>
      </w:fldSimple>
      <w:r w:rsidRPr="0069422B">
        <w:t xml:space="preserve"> Vývoj objemu prostředků na platy a ostatní platby za provedenou práci, počtu míst a průměrných platů v OSS a PO v letech 2019 – 202</w:t>
      </w:r>
      <w:r w:rsidR="00300223" w:rsidRPr="0069422B">
        <w:t>7</w:t>
      </w:r>
      <w:bookmarkEnd w:id="112"/>
      <w:bookmarkEnd w:id="113"/>
    </w:p>
    <w:p w:rsidR="00E11515" w:rsidRPr="00E11515" w:rsidRDefault="0069422B" w:rsidP="00E11515">
      <w:pPr>
        <w:spacing w:after="0"/>
        <w:sectPr w:rsidR="00E11515" w:rsidRPr="00E11515" w:rsidSect="00576069">
          <w:type w:val="continuous"/>
          <w:pgSz w:w="11906" w:h="16838" w:code="9"/>
          <w:pgMar w:top="1134" w:right="1134" w:bottom="1418" w:left="1134" w:header="709" w:footer="709" w:gutter="0"/>
          <w:cols w:space="397"/>
          <w:docGrid w:linePitch="360"/>
        </w:sectPr>
      </w:pPr>
      <w:r w:rsidRPr="0069422B">
        <w:rPr>
          <w:noProof/>
          <w:lang w:val="en-US" w:eastAsia="en-US"/>
        </w:rPr>
        <w:drawing>
          <wp:inline distT="0" distB="0" distL="0" distR="0">
            <wp:extent cx="6120130" cy="1530033"/>
            <wp:effectExtent l="0" t="0" r="0" b="0"/>
            <wp:docPr id="31" name="Obráze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6120130" cy="1530033"/>
                    </a:xfrm>
                    <a:prstGeom prst="rect">
                      <a:avLst/>
                    </a:prstGeom>
                    <a:noFill/>
                    <a:ln>
                      <a:noFill/>
                    </a:ln>
                  </pic:spPr>
                </pic:pic>
              </a:graphicData>
            </a:graphic>
          </wp:inline>
        </w:drawing>
      </w:r>
    </w:p>
    <w:p w:rsidR="00E11515" w:rsidRPr="00E11515" w:rsidRDefault="00E11515" w:rsidP="00E11515">
      <w:pPr>
        <w:rPr>
          <w:i/>
        </w:rPr>
      </w:pPr>
      <w:r w:rsidRPr="00E11515">
        <w:rPr>
          <w:i/>
        </w:rPr>
        <w:t>Pozn</w:t>
      </w:r>
      <w:r w:rsidR="00032ED5">
        <w:rPr>
          <w:i/>
        </w:rPr>
        <w:t>ámka</w:t>
      </w:r>
      <w:r w:rsidRPr="00E11515">
        <w:rPr>
          <w:i/>
        </w:rPr>
        <w:t>: údaje nezahrnují prostředky spolufinancování EU/FM; průměrné platy bez zahrnutí míst bez finančního krytí.</w:t>
      </w:r>
    </w:p>
    <w:p w:rsidR="00032ED5" w:rsidRDefault="00032ED5">
      <w:pPr>
        <w:spacing w:after="200" w:line="276" w:lineRule="auto"/>
        <w:jc w:val="left"/>
        <w:rPr>
          <w:i/>
        </w:rPr>
      </w:pPr>
      <w:r>
        <w:rPr>
          <w:i/>
        </w:rPr>
        <w:br w:type="page"/>
      </w:r>
    </w:p>
    <w:p w:rsidR="00E11515" w:rsidRPr="00E11515" w:rsidRDefault="00E11515" w:rsidP="00E11515">
      <w:pPr>
        <w:rPr>
          <w:i/>
        </w:rPr>
        <w:sectPr w:rsidR="00E11515" w:rsidRPr="00E11515" w:rsidSect="00576069">
          <w:type w:val="continuous"/>
          <w:pgSz w:w="11906" w:h="16838" w:code="9"/>
          <w:pgMar w:top="1134" w:right="1134" w:bottom="1418" w:left="1134" w:header="709" w:footer="709" w:gutter="0"/>
          <w:cols w:space="397"/>
          <w:docGrid w:linePitch="360"/>
        </w:sectPr>
      </w:pPr>
    </w:p>
    <w:p w:rsidR="00E11515" w:rsidRPr="00E11515" w:rsidRDefault="00E11515" w:rsidP="00CD1DF6">
      <w:pPr>
        <w:pStyle w:val="Nadpis3"/>
      </w:pPr>
      <w:bookmarkStart w:id="114" w:name="_Toc52369409"/>
      <w:bookmarkStart w:id="115" w:name="_Toc112771419"/>
      <w:bookmarkStart w:id="116" w:name="_Toc145662059"/>
      <w:r w:rsidRPr="00E11515">
        <w:lastRenderedPageBreak/>
        <w:t>Odvody do rozpočtu EU</w:t>
      </w:r>
      <w:bookmarkEnd w:id="114"/>
      <w:bookmarkEnd w:id="115"/>
      <w:bookmarkEnd w:id="116"/>
    </w:p>
    <w:p w:rsidR="00E11515" w:rsidRPr="00D74F22" w:rsidRDefault="00E11515" w:rsidP="0033216C">
      <w:pPr>
        <w:pStyle w:val="SRtitulek1"/>
      </w:pPr>
      <w:bookmarkStart w:id="117" w:name="_Toc145662008"/>
      <w:bookmarkStart w:id="118" w:name="_Toc175914457"/>
      <w:r w:rsidRPr="00D74F22">
        <w:t xml:space="preserve">Tabulka </w:t>
      </w:r>
      <w:fldSimple w:instr=" SEQ Tabulka \* ARABIC ">
        <w:r w:rsidR="001773BF">
          <w:rPr>
            <w:noProof/>
          </w:rPr>
          <w:t>17</w:t>
        </w:r>
      </w:fldSimple>
      <w:r w:rsidRPr="00D74F22">
        <w:t xml:space="preserve"> Odvody </w:t>
      </w:r>
      <w:r w:rsidR="003D63A6">
        <w:t>do rozpočtu</w:t>
      </w:r>
      <w:r w:rsidRPr="00D74F22">
        <w:t xml:space="preserve"> EU v letech 2019 – 202</w:t>
      </w:r>
      <w:r w:rsidR="00DF0A1F">
        <w:t>7</w:t>
      </w:r>
      <w:r w:rsidRPr="00D74F22">
        <w:t xml:space="preserve"> </w:t>
      </w:r>
      <w:r w:rsidRPr="00E718F6">
        <w:rPr>
          <w:i/>
        </w:rPr>
        <w:t>(v mld. Kč)</w:t>
      </w:r>
      <w:bookmarkEnd w:id="117"/>
      <w:bookmarkEnd w:id="118"/>
    </w:p>
    <w:p w:rsidR="00E11515" w:rsidRDefault="003A664F" w:rsidP="00596510">
      <w:pPr>
        <w:contextualSpacing/>
      </w:pPr>
      <w:r w:rsidRPr="003A664F">
        <w:rPr>
          <w:noProof/>
          <w:lang w:val="en-US" w:eastAsia="en-US"/>
        </w:rPr>
        <w:drawing>
          <wp:inline distT="0" distB="0" distL="0" distR="0">
            <wp:extent cx="6120130" cy="714309"/>
            <wp:effectExtent l="0" t="0" r="0" b="0"/>
            <wp:docPr id="49" name="Obrázek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6120130" cy="714309"/>
                    </a:xfrm>
                    <a:prstGeom prst="rect">
                      <a:avLst/>
                    </a:prstGeom>
                    <a:noFill/>
                    <a:ln>
                      <a:noFill/>
                    </a:ln>
                  </pic:spPr>
                </pic:pic>
              </a:graphicData>
            </a:graphic>
          </wp:inline>
        </w:drawing>
      </w:r>
    </w:p>
    <w:p w:rsidR="00032ED5" w:rsidRPr="009E1B67" w:rsidRDefault="00032ED5" w:rsidP="00596510">
      <w:pPr>
        <w:contextualSpacing/>
        <w:rPr>
          <w:i/>
        </w:rPr>
      </w:pPr>
      <w:r w:rsidRPr="00032ED5">
        <w:rPr>
          <w:i/>
        </w:rPr>
        <w:t xml:space="preserve">Poznámka: </w:t>
      </w:r>
      <w:r w:rsidRPr="009E1B67">
        <w:rPr>
          <w:i/>
        </w:rPr>
        <w:t>v</w:t>
      </w:r>
      <w:r w:rsidRPr="00032ED5">
        <w:rPr>
          <w:i/>
        </w:rPr>
        <w:t xml:space="preserve"> letech 2024-2027 včetně příspěvku na úroky za makrofinanční pomoc Ukrajině (MFA+) = Macro-Financial Assistance + ve výši 0,3 mld. Kč.</w:t>
      </w:r>
    </w:p>
    <w:p w:rsidR="00032ED5" w:rsidRDefault="00032ED5" w:rsidP="00E11515"/>
    <w:p w:rsidR="000718C8" w:rsidRPr="00E11515" w:rsidRDefault="000718C8" w:rsidP="00E11515">
      <w:pPr>
        <w:sectPr w:rsidR="000718C8" w:rsidRPr="00E11515" w:rsidSect="00576069">
          <w:type w:val="continuous"/>
          <w:pgSz w:w="11906" w:h="16838" w:code="9"/>
          <w:pgMar w:top="1134" w:right="1134" w:bottom="1418" w:left="1134" w:header="709" w:footer="709" w:gutter="0"/>
          <w:cols w:space="397"/>
          <w:docGrid w:linePitch="360"/>
        </w:sectPr>
      </w:pPr>
    </w:p>
    <w:p w:rsidR="00E11515" w:rsidRPr="00E11515" w:rsidRDefault="00E11515" w:rsidP="002438AB">
      <w:pPr>
        <w:pStyle w:val="SRTextnomal"/>
      </w:pPr>
      <w:r w:rsidRPr="00E11515">
        <w:t>Pro přípravu návrhu státního rozpočtu na rok 202</w:t>
      </w:r>
      <w:r w:rsidR="00622F0D">
        <w:t>5</w:t>
      </w:r>
      <w:r w:rsidRPr="00E11515">
        <w:t xml:space="preserve"> a rozpočtového výhledu na roky 202</w:t>
      </w:r>
      <w:r w:rsidR="00622F0D">
        <w:t>6</w:t>
      </w:r>
      <w:r w:rsidRPr="00E11515">
        <w:t>-202</w:t>
      </w:r>
      <w:r w:rsidR="00622F0D">
        <w:t>7</w:t>
      </w:r>
      <w:r w:rsidRPr="00E11515">
        <w:t xml:space="preserve"> byla pro vlastní zdroje EU placené ze státního rozpočtu (tj. na zdroj dle DPH, zdroj dle HND, zdroj z nerecyklovaných plastových obalů a hrubé snížení zdrojů založených na HND</w:t>
      </w:r>
      <w:r w:rsidR="006513CD">
        <w:t>; v roce 2026 je na odvod vlastních zdrojů rozpočtována částka 75 mld. Kč a pro rok 2027 částka 79 mld. Kč</w:t>
      </w:r>
      <w:r w:rsidRPr="00E11515">
        <w:t>) použita následující východiska:</w:t>
      </w:r>
    </w:p>
    <w:p w:rsidR="00622F0D" w:rsidRDefault="00622F0D" w:rsidP="00622F0D">
      <w:pPr>
        <w:numPr>
          <w:ilvl w:val="0"/>
          <w:numId w:val="6"/>
        </w:numPr>
        <w:spacing w:before="120"/>
        <w:ind w:left="426"/>
      </w:pPr>
      <w:r>
        <w:t xml:space="preserve">odhad potřeb výše vlastních zdrojů Unie v roce 2025 vychází ze schváleného finančního rámce 2021-2027 po jeho střednědobé revizi dohodnuté na začátku roku 2024, jak jej Komise zveřejnila v dubnu letošního roku, a z upraveného systému vlastních zdrojů, který vstoupil v platnost 1. června 2021 a je účinný retroaktivně od 1. ledna 2021. V roce 2025 se budou odvádět prostředky do rozpočtu EU dle tohoto </w:t>
      </w:r>
      <w:r w:rsidR="003F0E1B" w:rsidRPr="003F0E1B">
        <w:t>systému</w:t>
      </w:r>
      <w:r w:rsidR="003F0E1B" w:rsidRPr="003F0E1B">
        <w:rPr>
          <w:vertAlign w:val="superscript"/>
        </w:rPr>
        <w:footnoteReference w:id="1"/>
      </w:r>
      <w:r>
        <w:t xml:space="preserve">. </w:t>
      </w:r>
      <w:r w:rsidR="007B343A" w:rsidRPr="007B343A">
        <w:t>D</w:t>
      </w:r>
      <w:r w:rsidRPr="007B343A">
        <w:t xml:space="preserve">o odhadu potřeb </w:t>
      </w:r>
      <w:r w:rsidR="007B343A" w:rsidRPr="007B343A">
        <w:t xml:space="preserve">byly </w:t>
      </w:r>
      <w:r w:rsidRPr="007B343A">
        <w:t>promít</w:t>
      </w:r>
      <w:r w:rsidR="007B343A" w:rsidRPr="007B343A">
        <w:t>nuty</w:t>
      </w:r>
      <w:r w:rsidRPr="007B343A">
        <w:t xml:space="preserve"> nové odhady vývoje HND v ČR a EU, DPH, cel a zdroje z plastů pro roky 2024 a 2025 odsouhlasené</w:t>
      </w:r>
      <w:r>
        <w:t xml:space="preserve"> Komisí a členskými státy na konci května 2024.</w:t>
      </w:r>
    </w:p>
    <w:p w:rsidR="00622F0D" w:rsidRDefault="00622F0D" w:rsidP="00622F0D">
      <w:pPr>
        <w:numPr>
          <w:ilvl w:val="0"/>
          <w:numId w:val="6"/>
        </w:numPr>
        <w:spacing w:before="120"/>
        <w:ind w:left="426"/>
      </w:pPr>
      <w:r>
        <w:t xml:space="preserve">dle nařízení Rady (EU, Euratom) 609/2014 v platném </w:t>
      </w:r>
      <w:r w:rsidR="003F0E1B" w:rsidRPr="003F0E1B">
        <w:t>znění</w:t>
      </w:r>
      <w:r w:rsidR="003F0E1B" w:rsidRPr="003F0E1B">
        <w:rPr>
          <w:vertAlign w:val="superscript"/>
        </w:rPr>
        <w:footnoteReference w:id="2"/>
      </w:r>
      <w:r>
        <w:t xml:space="preserve"> je (od roku 2023) prováděna úhrada vypořádání odvodů DPH a HND (doplatky/přeplatky dle skutečného vývoje, tzv. „balances“) do rozpočtu EU za předchozí roky v roce n+2. V roce 2025 tak budou odvody v rámci vypořádání zdroje z HND a DPH za rok 2022 a předchozí roky pro Českou republiku sníženy o 1,58 mld. Kč. (pozn. výše vypořádání, která budou splatná v letech 2026 a 2027, zatím nejsou známy).</w:t>
      </w:r>
    </w:p>
    <w:p w:rsidR="00622F0D" w:rsidRDefault="00622F0D" w:rsidP="00622F0D">
      <w:pPr>
        <w:numPr>
          <w:ilvl w:val="0"/>
          <w:numId w:val="6"/>
        </w:numPr>
        <w:spacing w:before="120"/>
        <w:ind w:left="426"/>
      </w:pPr>
      <w:r>
        <w:t xml:space="preserve">dle nařízení Rady (EU, Euratom) 2021/770 je (od roku 2024) prováděna úhrada vypořádání odvodů vlastního zdroje z nerecyklovaných plastových obalových odpadů (viz výše; tzv. „balances“) do rozpočtu EU za předchozí roky v roce n+1. V roce 2025 tak bude splatná rovněž čistá částka vypořádání odvodů v rámci vypořádání zdroje z nerecyklovaných </w:t>
      </w:r>
      <w:r>
        <w:t xml:space="preserve">plastových obalových odpadů za rok 2024 a předchozí </w:t>
      </w:r>
      <w:r w:rsidR="003F0E1B" w:rsidRPr="003F0E1B">
        <w:t>roky</w:t>
      </w:r>
      <w:r w:rsidR="003F0E1B" w:rsidRPr="003F0E1B">
        <w:rPr>
          <w:vertAlign w:val="superscript"/>
        </w:rPr>
        <w:footnoteReference w:id="3"/>
      </w:r>
      <w:r>
        <w:t>, nicméně její výše pro Českou bude známa až na začátku roku 2025 (pozn. výše vypořádání, která budou splatná v letech 2025-2027, zatím tedy nejsou známy).</w:t>
      </w:r>
    </w:p>
    <w:p w:rsidR="00622F0D" w:rsidRDefault="00622F0D" w:rsidP="00622F0D">
      <w:pPr>
        <w:numPr>
          <w:ilvl w:val="0"/>
          <w:numId w:val="6"/>
        </w:numPr>
        <w:spacing w:before="120"/>
        <w:ind w:left="426"/>
      </w:pPr>
      <w:r>
        <w:t>v souvislosti s přetrvávajícím zpožděním v čerpání vybraných politik EU (zejména pak kohezní politiky) byl objem rozpočtu EU v platbách na rok 2024 výrazně nižší, než umožňoval strop, rovněž návrhu rozpočtu na rok 2025, který Komise předložila v červnu 2024, zůstává výrazně pod stropem, který umožňuje legislativa. Platby jsou tak posunuty do následujících let (zejména 2026 a 2027).</w:t>
      </w:r>
    </w:p>
    <w:p w:rsidR="00622F0D" w:rsidRDefault="00622F0D" w:rsidP="00622F0D">
      <w:pPr>
        <w:numPr>
          <w:ilvl w:val="0"/>
          <w:numId w:val="6"/>
        </w:numPr>
        <w:spacing w:before="120"/>
        <w:ind w:left="426"/>
      </w:pPr>
      <w:r>
        <w:t xml:space="preserve">výše příjmů rozpočtu EU v letech 2026-2027 se tak bude pohybovat nad úrovní stropů celkových plateb finančního rámce (zohledněny jsou tzv. zvláštní nástroje, které jsou v období 2021-2027 rozpočtovány nad stropy finančního rámce a které byly dále rozšířeny a navýšeny v rámci střednědobé revize víceletého finančního rámce, nad stropy je rozpočtována i pomoc Ukrajině na období 2024-2027, jejíž rozložení mezi jednotlivé roky je zatím pouze indikativní, stejně jako dodatečné náklady na výpůjčky v rámci tzv. NGEU dané vyššími úrokovými sazbami). </w:t>
      </w:r>
    </w:p>
    <w:p w:rsidR="00622F0D" w:rsidRPr="00105C98" w:rsidRDefault="00622F0D" w:rsidP="00622F0D">
      <w:pPr>
        <w:numPr>
          <w:ilvl w:val="0"/>
          <w:numId w:val="6"/>
        </w:numPr>
        <w:spacing w:before="120"/>
        <w:ind w:left="426"/>
      </w:pPr>
      <w:r>
        <w:t xml:space="preserve">v souvislosti </w:t>
      </w:r>
      <w:r w:rsidRPr="00105C98">
        <w:t xml:space="preserve">s novými odhady a daty se ukazuje, že relativně rychlejší růst HND ČR oproti průměru EU (daný primárně vyšším růstem cenové hladiny v ČR ve srovnání s EU a tím nominálním růstem HND a výběru DPH v posledních letech) se zpomalil, resp. zastavil, když se úroveň inflace dostala na cílové hodnoty a rovněž ekonomický růst patří mezi nejnižší v EU. Podíl ČR na financování rozpočtu EU se tak vrátil na původní trajektorii (z období před útočnou válkou na Ukrajině) a pro období 2025-2027 </w:t>
      </w:r>
      <w:r w:rsidR="002B6323">
        <w:t>s</w:t>
      </w:r>
      <w:r w:rsidRPr="00105C98">
        <w:t>e předpokládá v průměru na úrovni 1,82 %.</w:t>
      </w:r>
    </w:p>
    <w:p w:rsidR="00622F0D" w:rsidRDefault="00622F0D" w:rsidP="00622F0D">
      <w:pPr>
        <w:numPr>
          <w:ilvl w:val="0"/>
          <w:numId w:val="6"/>
        </w:numPr>
        <w:spacing w:before="120"/>
        <w:ind w:left="426"/>
      </w:pPr>
      <w:r>
        <w:lastRenderedPageBreak/>
        <w:t xml:space="preserve">na základě nových odhadů Komise o výši vybraných cel </w:t>
      </w:r>
      <w:r w:rsidR="002B6323">
        <w:t xml:space="preserve">se </w:t>
      </w:r>
      <w:r>
        <w:t>predikuje pro roky 2025-2027 relativně stabilní a jen mírně rostoucí příjem z tohoto zdroje, je nicméně samozřejmě nadále otázkou, jak se bude vyvíjet situace na Ukrajině a obchodní výměna EU s</w:t>
      </w:r>
      <w:r w:rsidR="00105C98">
        <w:t> </w:t>
      </w:r>
      <w:r>
        <w:t>Ruskem, či jaký vliv bude mít celková geopolitická situace.</w:t>
      </w:r>
    </w:p>
    <w:p w:rsidR="00622F0D" w:rsidRDefault="00622F0D" w:rsidP="00622F0D">
      <w:pPr>
        <w:numPr>
          <w:ilvl w:val="0"/>
          <w:numId w:val="6"/>
        </w:numPr>
        <w:spacing w:before="120"/>
        <w:ind w:left="426"/>
      </w:pPr>
      <w:r>
        <w:t xml:space="preserve">Spojené království (UK) se bude </w:t>
      </w:r>
      <w:r w:rsidR="007B343A">
        <w:t xml:space="preserve">jen </w:t>
      </w:r>
      <w:r>
        <w:t>do roku 2025 podílet na úhradě části plateb vztahujících se k</w:t>
      </w:r>
      <w:r w:rsidR="007B343A">
        <w:t> </w:t>
      </w:r>
      <w:r>
        <w:t>závazkům období 2014-2020, u kterých se UK může ještě podílet na jejich čerpání.</w:t>
      </w:r>
    </w:p>
    <w:p w:rsidR="00622F0D" w:rsidRPr="007B343A" w:rsidRDefault="00622F0D" w:rsidP="00622F0D">
      <w:pPr>
        <w:numPr>
          <w:ilvl w:val="0"/>
          <w:numId w:val="6"/>
        </w:numPr>
        <w:spacing w:before="120"/>
        <w:ind w:left="426"/>
      </w:pPr>
      <w:r>
        <w:t>výše vlastních zdrojů EU hrazených z národních rozpočtů (zdroj z HND, zdroj z DPH, zdroj z plastů) všech členských zemí EU pokrývá v uvedeném období až</w:t>
      </w:r>
      <w:r w:rsidR="00105C98">
        <w:t> </w:t>
      </w:r>
      <w:r>
        <w:t xml:space="preserve">90 % celkové výše příjmů </w:t>
      </w:r>
      <w:r w:rsidR="00A94FF4" w:rsidRPr="00A94FF4">
        <w:t>rozpočtu EU</w:t>
      </w:r>
      <w:r w:rsidR="00A94FF4" w:rsidRPr="00A94FF4">
        <w:rPr>
          <w:vertAlign w:val="superscript"/>
        </w:rPr>
        <w:footnoteReference w:id="4"/>
      </w:r>
      <w:r>
        <w:t xml:space="preserve">; (nicméně na základě vývoje v posledních letech </w:t>
      </w:r>
      <w:r w:rsidR="007B30AB">
        <w:t xml:space="preserve">se </w:t>
      </w:r>
      <w:r>
        <w:t>očekává do</w:t>
      </w:r>
      <w:r w:rsidR="00105C98">
        <w:t> </w:t>
      </w:r>
      <w:r>
        <w:t xml:space="preserve">budoucna spíše snižování příjmů z pokut (tj. ostatních příjmů) a tím další mírné navýšení odvodů dle </w:t>
      </w:r>
      <w:r w:rsidRPr="007B343A">
        <w:t>HND hrazených ze státního rozpočtu).</w:t>
      </w:r>
    </w:p>
    <w:p w:rsidR="00622F0D" w:rsidRDefault="00622F0D" w:rsidP="00622F0D">
      <w:pPr>
        <w:numPr>
          <w:ilvl w:val="0"/>
          <w:numId w:val="6"/>
        </w:numPr>
        <w:spacing w:before="120"/>
        <w:ind w:left="426"/>
      </w:pPr>
      <w:r>
        <w:t>válka na Ukrajině přinesla jak oslabení ekonomického růstu tak i posílení inflačních tlaků ve všech zemích EU, aktuální geopolitická situace přináší i další nejistoty, což významně komplikuje odhady podílu odvodů jednotlivých členských států EU vč. ČR do</w:t>
      </w:r>
      <w:r w:rsidR="007B343A">
        <w:t> </w:t>
      </w:r>
      <w:r>
        <w:t xml:space="preserve">rozpočtu EU, současně EU v reakci na situaci na Ukrajině přijala mj. v rámci střednědobé revize VFR </w:t>
      </w:r>
      <w:r>
        <w:t>finanční opatření, která budou mít v letech 2025-2027 významný dopad na objem rozpočtu EU. S výraznějším růstem úrokových sazeb v nedávné době rovněž narůstají náklady na obsluhu výpůjček EU v</w:t>
      </w:r>
      <w:r w:rsidR="006513CD">
        <w:t> </w:t>
      </w:r>
      <w:r>
        <w:t>rámci tzv. NGEU, přijatého jako reakce na pandemii COVID-19, které budou muset být rozpočtem EU hrazeny a jejichž výše zatím není známa. Tyto skutečnosti představují klíčové nejistoty, kvůli kterým se výše odvodů vlastních zdrojů ze státního rozpočtu ČR do rozpočtu EU v letech 2025-2027 odhaduje velmi obtížně.</w:t>
      </w:r>
    </w:p>
    <w:p w:rsidR="00E11515" w:rsidRPr="00E11515" w:rsidRDefault="000A1B1D" w:rsidP="000A1B1D">
      <w:pPr>
        <w:numPr>
          <w:ilvl w:val="0"/>
          <w:numId w:val="6"/>
        </w:numPr>
        <w:spacing w:before="120"/>
        <w:ind w:left="426" w:hanging="426"/>
      </w:pPr>
      <w:r>
        <w:t xml:space="preserve">Kromě odvodu vlastních zdrojů do rozpočtu EU se rozpočtují výdaje na </w:t>
      </w:r>
      <w:r w:rsidRPr="000A1B1D">
        <w:t>Makrofinanční pomoc pro</w:t>
      </w:r>
      <w:r w:rsidR="004D31FB">
        <w:t> </w:t>
      </w:r>
      <w:r w:rsidRPr="000A1B1D">
        <w:t>Ukrajinu</w:t>
      </w:r>
      <w:r w:rsidR="000718C8">
        <w:t xml:space="preserve"> („MFA+“)</w:t>
      </w:r>
      <w:r w:rsidR="00612B69">
        <w:t>, která</w:t>
      </w:r>
      <w:r w:rsidRPr="000A1B1D">
        <w:t xml:space="preserve"> byla schválena v prosinci 2022. Nařízení o MFA+ stanovuje také možnost subvence úrokových sazeb a pokrytí správních nákladů, pokud o to Ukrajina požádá. Ve společném prohlášení se členské státy zavázaly poskytnout příspěvky na</w:t>
      </w:r>
      <w:r w:rsidR="004D31FB">
        <w:t> </w:t>
      </w:r>
      <w:r w:rsidRPr="000A1B1D">
        <w:t>úroky dle klíče daného podílem na</w:t>
      </w:r>
      <w:r w:rsidR="00612B69">
        <w:t> </w:t>
      </w:r>
      <w:r w:rsidRPr="000A1B1D">
        <w:t>hrubém národním důchodu (HND). Dle Dohody o</w:t>
      </w:r>
      <w:r w:rsidR="00612B69">
        <w:t> </w:t>
      </w:r>
      <w:r w:rsidRPr="000A1B1D">
        <w:t>přiznání příspěvku připadá na ČR dle klíče HND z</w:t>
      </w:r>
      <w:r w:rsidR="00612B69">
        <w:t> </w:t>
      </w:r>
      <w:r w:rsidRPr="000A1B1D">
        <w:t>roku 2022 dodatečná výše příspěvků ve výši celkem 47,8</w:t>
      </w:r>
      <w:r w:rsidR="005526D5">
        <w:t> </w:t>
      </w:r>
      <w:r w:rsidRPr="000A1B1D">
        <w:t>mil.</w:t>
      </w:r>
      <w:r w:rsidR="00551806" w:rsidRPr="00551806">
        <w:rPr>
          <w:rFonts w:ascii="Arial" w:eastAsia="Calibri" w:hAnsi="Arial" w:cs="Arial"/>
          <w:color w:val="000000"/>
          <w:sz w:val="24"/>
          <w:szCs w:val="24"/>
          <w:shd w:val="clear" w:color="auto" w:fill="FFFFFF"/>
          <w:lang w:eastAsia="en-US"/>
        </w:rPr>
        <w:t xml:space="preserve"> </w:t>
      </w:r>
      <w:r w:rsidR="00551806" w:rsidRPr="00551806">
        <w:t>EUR</w:t>
      </w:r>
      <w:r w:rsidR="00551806" w:rsidRPr="00551806">
        <w:rPr>
          <w:vertAlign w:val="superscript"/>
        </w:rPr>
        <w:footnoteReference w:id="5"/>
      </w:r>
      <w:r w:rsidRPr="000A1B1D">
        <w:t xml:space="preserve"> (tj. zhruba 1,2</w:t>
      </w:r>
      <w:r w:rsidR="005526D5">
        <w:t> </w:t>
      </w:r>
      <w:r w:rsidRPr="000A1B1D">
        <w:t>mld.</w:t>
      </w:r>
      <w:r w:rsidR="005526D5">
        <w:t> </w:t>
      </w:r>
      <w:r w:rsidRPr="000A1B1D">
        <w:t>Kč) v letech 2024–2027, tj. zhruba 12 mil.</w:t>
      </w:r>
      <w:r w:rsidR="005526D5">
        <w:t> </w:t>
      </w:r>
      <w:r w:rsidRPr="000A1B1D">
        <w:t>EUR ročně, což odpovídá částce cca 300</w:t>
      </w:r>
      <w:r w:rsidR="005526D5">
        <w:t> </w:t>
      </w:r>
      <w:r w:rsidRPr="000A1B1D">
        <w:t>mil.</w:t>
      </w:r>
      <w:r w:rsidR="005526D5">
        <w:t> </w:t>
      </w:r>
      <w:r w:rsidRPr="000A1B1D">
        <w:t>Kč</w:t>
      </w:r>
      <w:r>
        <w:t xml:space="preserve"> (v roce 202</w:t>
      </w:r>
      <w:r w:rsidR="00622F0D">
        <w:t>5</w:t>
      </w:r>
      <w:r>
        <w:t xml:space="preserve"> i v obou letech střednědobého výhledu)</w:t>
      </w:r>
      <w:r w:rsidRPr="000A1B1D">
        <w:t>.</w:t>
      </w:r>
    </w:p>
    <w:p w:rsidR="00E11515" w:rsidRPr="00E11515" w:rsidRDefault="00E11515" w:rsidP="00E11515">
      <w:pPr>
        <w:contextualSpacing/>
        <w:rPr>
          <w:rFonts w:eastAsia="Calibri"/>
        </w:rPr>
        <w:sectPr w:rsidR="00E11515" w:rsidRPr="00E11515" w:rsidSect="00576069">
          <w:type w:val="continuous"/>
          <w:pgSz w:w="11906" w:h="16838" w:code="9"/>
          <w:pgMar w:top="1134" w:right="1134" w:bottom="1418" w:left="1134" w:header="709" w:footer="709" w:gutter="0"/>
          <w:cols w:num="2" w:space="397"/>
          <w:docGrid w:linePitch="360"/>
        </w:sectPr>
      </w:pPr>
    </w:p>
    <w:p w:rsidR="00E11515" w:rsidRPr="00E11515" w:rsidRDefault="00E11515" w:rsidP="00CD1DF6">
      <w:pPr>
        <w:pStyle w:val="Nadpis3"/>
        <w:sectPr w:rsidR="00E11515" w:rsidRPr="00E11515" w:rsidSect="00576069">
          <w:type w:val="continuous"/>
          <w:pgSz w:w="11906" w:h="16838" w:code="9"/>
          <w:pgMar w:top="1134" w:right="1134" w:bottom="1418" w:left="1134" w:header="709" w:footer="709" w:gutter="0"/>
          <w:cols w:space="397"/>
          <w:docGrid w:linePitch="360"/>
        </w:sectPr>
      </w:pPr>
      <w:bookmarkStart w:id="119" w:name="_Toc52369410"/>
      <w:bookmarkStart w:id="120" w:name="_Toc112771420"/>
      <w:bookmarkStart w:id="121" w:name="_Toc145662060"/>
      <w:r w:rsidRPr="00E11515">
        <w:t>Výdaje na výzkum, vývoj a inovace</w:t>
      </w:r>
      <w:bookmarkEnd w:id="119"/>
      <w:bookmarkEnd w:id="120"/>
      <w:bookmarkEnd w:id="121"/>
    </w:p>
    <w:p w:rsidR="00E11515" w:rsidRPr="00E11515" w:rsidRDefault="00E11515" w:rsidP="002438AB">
      <w:pPr>
        <w:pStyle w:val="SRTextnomal"/>
      </w:pPr>
      <w:r w:rsidRPr="00E11515">
        <w:t>Prostředky v této oblasti jsou rozpočtovány v roce 202</w:t>
      </w:r>
      <w:r w:rsidR="00B20129">
        <w:t>5</w:t>
      </w:r>
      <w:r w:rsidRPr="00E11515">
        <w:t xml:space="preserve"> ve výši </w:t>
      </w:r>
      <w:r w:rsidR="00B20129">
        <w:t>51</w:t>
      </w:r>
      <w:r w:rsidRPr="00E11515">
        <w:t>,</w:t>
      </w:r>
      <w:r w:rsidR="00B20129">
        <w:t>6</w:t>
      </w:r>
      <w:r w:rsidRPr="00E11515">
        <w:t xml:space="preserve"> mld. Kč, z toho ve výši </w:t>
      </w:r>
      <w:r w:rsidR="00647D26">
        <w:t>4</w:t>
      </w:r>
      <w:r w:rsidR="00B20129">
        <w:t>3</w:t>
      </w:r>
      <w:r w:rsidRPr="00E11515">
        <w:t>,</w:t>
      </w:r>
      <w:r w:rsidR="00B20129">
        <w:t>3</w:t>
      </w:r>
      <w:r w:rsidR="00AB4528">
        <w:t> </w:t>
      </w:r>
      <w:r w:rsidRPr="00E11515">
        <w:t>mld. Kč bez prostředků EU/FM. V roce 202</w:t>
      </w:r>
      <w:r w:rsidR="00B20129">
        <w:t>6</w:t>
      </w:r>
      <w:r w:rsidRPr="00E11515">
        <w:t xml:space="preserve"> jsou rozpočtovány bez zahraničních zdrojů ve výši </w:t>
      </w:r>
      <w:r w:rsidR="00647D26">
        <w:t>4</w:t>
      </w:r>
      <w:r w:rsidR="00B20129">
        <w:t>3</w:t>
      </w:r>
      <w:r w:rsidRPr="00E11515">
        <w:t>,</w:t>
      </w:r>
      <w:r w:rsidR="00B20129">
        <w:t>7</w:t>
      </w:r>
      <w:r w:rsidR="00AB4528">
        <w:t> </w:t>
      </w:r>
      <w:r w:rsidRPr="00E11515">
        <w:t>mld. Kč a v roce 202</w:t>
      </w:r>
      <w:r w:rsidR="00B20129">
        <w:t>7</w:t>
      </w:r>
      <w:r w:rsidR="00B44EE3">
        <w:t xml:space="preserve"> </w:t>
      </w:r>
      <w:r w:rsidRPr="00E11515">
        <w:t>ve</w:t>
      </w:r>
      <w:r w:rsidR="00B20129">
        <w:t> </w:t>
      </w:r>
      <w:r w:rsidRPr="00E11515">
        <w:t xml:space="preserve">výši </w:t>
      </w:r>
      <w:r w:rsidR="00647D26">
        <w:t>4</w:t>
      </w:r>
      <w:r w:rsidR="00B20129">
        <w:t>3</w:t>
      </w:r>
      <w:r w:rsidRPr="00E11515">
        <w:t>,</w:t>
      </w:r>
      <w:r w:rsidR="00B20129">
        <w:t>9</w:t>
      </w:r>
      <w:r w:rsidR="00AB4528">
        <w:t> </w:t>
      </w:r>
      <w:r w:rsidRPr="00E11515">
        <w:t>mld. Kč. Výši výdajů na výzkum a vývoj v čle</w:t>
      </w:r>
      <w:r w:rsidRPr="00E11515">
        <w:t>nění na financované z národních zdrojů a kryté zahraničními zdroji ukazuje následující tabulka. Rovněž je uveden podíl celkových výdajů na výzkum, vývoj a inovace na</w:t>
      </w:r>
      <w:r w:rsidR="00B20129">
        <w:t> </w:t>
      </w:r>
      <w:r w:rsidRPr="00E11515">
        <w:t>hrubém domácím produktu.</w:t>
      </w:r>
    </w:p>
    <w:p w:rsidR="00E11515" w:rsidRPr="00E11515" w:rsidRDefault="00E11515" w:rsidP="002438AB">
      <w:pPr>
        <w:pStyle w:val="SRTextnomal"/>
      </w:pPr>
      <w:r w:rsidRPr="00E11515">
        <w:t>Podrobněji viz tabulka č. 4 v Tabulkové části.</w:t>
      </w:r>
    </w:p>
    <w:p w:rsidR="00E11515" w:rsidRPr="00E11515" w:rsidRDefault="00E11515" w:rsidP="00E11515">
      <w:pPr>
        <w:sectPr w:rsidR="00E11515" w:rsidRPr="00E11515" w:rsidSect="00576069">
          <w:type w:val="continuous"/>
          <w:pgSz w:w="11906" w:h="16838" w:code="9"/>
          <w:pgMar w:top="1134" w:right="1134" w:bottom="1418" w:left="1134" w:header="709" w:footer="709" w:gutter="0"/>
          <w:cols w:num="2" w:space="397"/>
          <w:docGrid w:linePitch="360"/>
        </w:sectPr>
      </w:pPr>
    </w:p>
    <w:p w:rsidR="00E11515" w:rsidRPr="00E11515" w:rsidRDefault="00E11515" w:rsidP="0033216C">
      <w:pPr>
        <w:pStyle w:val="SRtitulek1"/>
      </w:pPr>
      <w:bookmarkStart w:id="122" w:name="_Toc145662009"/>
      <w:bookmarkStart w:id="123" w:name="_Toc175914458"/>
      <w:r w:rsidRPr="00D74F22">
        <w:t xml:space="preserve">Tabulka </w:t>
      </w:r>
      <w:fldSimple w:instr=" SEQ Tabulka \* ARABIC ">
        <w:r w:rsidR="001773BF">
          <w:rPr>
            <w:noProof/>
          </w:rPr>
          <w:t>18</w:t>
        </w:r>
      </w:fldSimple>
      <w:r w:rsidRPr="00D74F22">
        <w:t xml:space="preserve"> Výdaje na výzkum, vývoj a inovace v letech 2019 – 202</w:t>
      </w:r>
      <w:r w:rsidR="00DF0A1F">
        <w:t>7</w:t>
      </w:r>
      <w:r w:rsidRPr="00D74F22">
        <w:t xml:space="preserve"> </w:t>
      </w:r>
      <w:r w:rsidRPr="00E718F6">
        <w:rPr>
          <w:i/>
        </w:rPr>
        <w:t>(v mld. Kč)</w:t>
      </w:r>
      <w:bookmarkEnd w:id="122"/>
      <w:bookmarkEnd w:id="123"/>
    </w:p>
    <w:p w:rsidR="00E11515" w:rsidRPr="00E11515" w:rsidRDefault="00B20129" w:rsidP="00E11515">
      <w:pPr>
        <w:jc w:val="left"/>
        <w:rPr>
          <w:noProof/>
        </w:rPr>
      </w:pPr>
      <w:r w:rsidRPr="00B20129">
        <w:rPr>
          <w:noProof/>
          <w:lang w:val="en-US" w:eastAsia="en-US"/>
        </w:rPr>
        <w:drawing>
          <wp:inline distT="0" distB="0" distL="0" distR="0">
            <wp:extent cx="6120130" cy="1599131"/>
            <wp:effectExtent l="0" t="0" r="0" b="1270"/>
            <wp:docPr id="52" name="Obrázek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6120130" cy="1599131"/>
                    </a:xfrm>
                    <a:prstGeom prst="rect">
                      <a:avLst/>
                    </a:prstGeom>
                    <a:noFill/>
                    <a:ln>
                      <a:noFill/>
                    </a:ln>
                  </pic:spPr>
                </pic:pic>
              </a:graphicData>
            </a:graphic>
          </wp:inline>
        </w:drawing>
      </w:r>
      <w:r w:rsidR="00E11515" w:rsidRPr="00E11515">
        <w:rPr>
          <w:i/>
          <w:noProof/>
        </w:rPr>
        <w:t>Poznámka: roky 202</w:t>
      </w:r>
      <w:r w:rsidR="00DF0A1F">
        <w:rPr>
          <w:i/>
          <w:noProof/>
        </w:rPr>
        <w:t>6</w:t>
      </w:r>
      <w:r w:rsidR="00E11515" w:rsidRPr="00E11515">
        <w:rPr>
          <w:i/>
          <w:noProof/>
        </w:rPr>
        <w:t xml:space="preserve"> a 20</w:t>
      </w:r>
      <w:r w:rsidR="00DF0A1F">
        <w:rPr>
          <w:i/>
          <w:noProof/>
        </w:rPr>
        <w:t>27</w:t>
      </w:r>
      <w:r w:rsidR="00E11515" w:rsidRPr="00E11515">
        <w:rPr>
          <w:i/>
          <w:noProof/>
        </w:rPr>
        <w:t xml:space="preserve"> bez zahraničních zdrojů.</w:t>
      </w:r>
    </w:p>
    <w:p w:rsidR="00E11515" w:rsidRPr="00D256F3" w:rsidRDefault="00E11515" w:rsidP="00CD1DF6">
      <w:pPr>
        <w:pStyle w:val="Nadpis3"/>
      </w:pPr>
      <w:bookmarkStart w:id="124" w:name="_Toc112771421"/>
      <w:bookmarkStart w:id="125" w:name="_Toc145662061"/>
      <w:bookmarkStart w:id="126" w:name="_Toc52369411"/>
      <w:r w:rsidRPr="00D256F3">
        <w:t>Výdaje na zahraniční rozvojovou spolupráci a humanitární pomoc</w:t>
      </w:r>
      <w:bookmarkEnd w:id="124"/>
      <w:bookmarkEnd w:id="125"/>
    </w:p>
    <w:p w:rsidR="00E11515" w:rsidRPr="00E11515" w:rsidRDefault="00E11515" w:rsidP="00E11515">
      <w:pPr>
        <w:sectPr w:rsidR="00E11515" w:rsidRPr="00E11515" w:rsidSect="00576069">
          <w:type w:val="continuous"/>
          <w:pgSz w:w="11906" w:h="16838" w:code="9"/>
          <w:pgMar w:top="1134" w:right="1134" w:bottom="1418" w:left="1134" w:header="709" w:footer="709" w:gutter="0"/>
          <w:cols w:space="397"/>
          <w:docGrid w:linePitch="360"/>
        </w:sectPr>
      </w:pPr>
    </w:p>
    <w:p w:rsidR="00E11515" w:rsidRPr="00E11515" w:rsidRDefault="00E11515" w:rsidP="002438AB">
      <w:pPr>
        <w:pStyle w:val="SRTextnomal"/>
      </w:pPr>
      <w:r w:rsidRPr="00E11515">
        <w:t>Výdaje na zahraniční rozvojovou spolupráci a humanitární pomoc se v roce 202</w:t>
      </w:r>
      <w:r w:rsidR="00AA1F50">
        <w:t>5</w:t>
      </w:r>
      <w:r w:rsidRPr="00E11515">
        <w:t xml:space="preserve"> a v obou letech střednědo</w:t>
      </w:r>
      <w:r w:rsidRPr="00E11515">
        <w:t xml:space="preserve">bého výhledu rozpočtují ve </w:t>
      </w:r>
      <w:r w:rsidRPr="00D256F3">
        <w:t xml:space="preserve">výši 942,3 mil. Kč (bez prostředků z rozpočtu EU). Prostředky jsou rozpočtovány v kapitolách Ministerstvo zahraničních věcí, Ministerstvo </w:t>
      </w:r>
      <w:r w:rsidRPr="00D256F3">
        <w:lastRenderedPageBreak/>
        <w:t xml:space="preserve">školství, mládeže a tělovýchovy a Ministerstvo zdravotnictví. V kapitole Ministerstvo zahraničních věcí se předpokládají výdaje ve výši 827,3 mil. Kč v obou letech výhledu, přičemž největší objem finančních prostředků připadá na dvoustrannou rozvojovou spolupráci (částka </w:t>
      </w:r>
      <w:r w:rsidRPr="00D256F3">
        <w:t>5</w:t>
      </w:r>
      <w:r w:rsidR="00AE01EC">
        <w:t>5</w:t>
      </w:r>
      <w:r w:rsidRPr="00D256F3">
        <w:t>2,3 mil. Kč v roce 202</w:t>
      </w:r>
      <w:r w:rsidR="00AA1F50" w:rsidRPr="00D256F3">
        <w:t>6</w:t>
      </w:r>
      <w:r w:rsidRPr="00D256F3">
        <w:t xml:space="preserve"> a </w:t>
      </w:r>
      <w:r w:rsidR="00AE01EC">
        <w:t xml:space="preserve">stejná </w:t>
      </w:r>
      <w:r w:rsidRPr="00D256F3">
        <w:t>částka 5</w:t>
      </w:r>
      <w:r w:rsidR="00501AC7" w:rsidRPr="00D256F3">
        <w:t>5</w:t>
      </w:r>
      <w:r w:rsidRPr="00D256F3">
        <w:t>2,3 mil. Kč v roce 202</w:t>
      </w:r>
      <w:r w:rsidR="00AA1F50" w:rsidRPr="00D256F3">
        <w:t>7</w:t>
      </w:r>
      <w:r w:rsidRPr="00D256F3">
        <w:t>). Podrobněji viz tabulka č. 3 v Tabulkové části</w:t>
      </w:r>
      <w:r w:rsidRPr="00E11515">
        <w:t>.</w:t>
      </w:r>
    </w:p>
    <w:p w:rsidR="00E11515" w:rsidRPr="00E11515" w:rsidRDefault="00E11515" w:rsidP="00E11515">
      <w:pPr>
        <w:sectPr w:rsidR="00E11515" w:rsidRPr="00E11515" w:rsidSect="00576069">
          <w:type w:val="continuous"/>
          <w:pgSz w:w="11906" w:h="16838" w:code="9"/>
          <w:pgMar w:top="1134" w:right="1134" w:bottom="1418" w:left="1134" w:header="709" w:footer="709" w:gutter="0"/>
          <w:cols w:num="2" w:space="397"/>
          <w:docGrid w:linePitch="360"/>
        </w:sectPr>
      </w:pPr>
    </w:p>
    <w:p w:rsidR="00E11515" w:rsidRPr="00D74F22" w:rsidRDefault="00E11515" w:rsidP="0033216C">
      <w:pPr>
        <w:pStyle w:val="SRtitulek1"/>
      </w:pPr>
      <w:bookmarkStart w:id="127" w:name="_Toc85705602"/>
      <w:bookmarkStart w:id="128" w:name="_Toc145662010"/>
      <w:bookmarkStart w:id="129" w:name="_Toc175914459"/>
      <w:r w:rsidRPr="00D74F22">
        <w:t xml:space="preserve">Tabulka </w:t>
      </w:r>
      <w:fldSimple w:instr=" SEQ Tabulka \* ARABIC ">
        <w:r w:rsidR="001773BF">
          <w:rPr>
            <w:noProof/>
          </w:rPr>
          <w:t>19</w:t>
        </w:r>
      </w:fldSimple>
      <w:r w:rsidRPr="00D74F22">
        <w:t xml:space="preserve"> Výdaje na zahra</w:t>
      </w:r>
      <w:r w:rsidR="008011D4">
        <w:t>ni</w:t>
      </w:r>
      <w:r w:rsidRPr="00D74F22">
        <w:t>ční rozvojovou spolupráci a humanitární pomoc v letech 2019 – 202</w:t>
      </w:r>
      <w:r w:rsidR="00AA1F50">
        <w:t>7</w:t>
      </w:r>
      <w:r w:rsidRPr="00D74F22">
        <w:t xml:space="preserve"> </w:t>
      </w:r>
      <w:r w:rsidRPr="00E718F6">
        <w:rPr>
          <w:i/>
        </w:rPr>
        <w:t>(v mil. Kč)</w:t>
      </w:r>
      <w:bookmarkEnd w:id="127"/>
      <w:bookmarkEnd w:id="128"/>
      <w:bookmarkEnd w:id="129"/>
    </w:p>
    <w:p w:rsidR="00E11515" w:rsidRPr="00E11515" w:rsidRDefault="00D256F3" w:rsidP="00E11515">
      <w:pPr>
        <w:rPr>
          <w:i/>
          <w:sz w:val="18"/>
          <w:szCs w:val="18"/>
        </w:rPr>
      </w:pPr>
      <w:r w:rsidRPr="00D256F3">
        <w:rPr>
          <w:noProof/>
          <w:lang w:val="en-US" w:eastAsia="en-US"/>
        </w:rPr>
        <w:drawing>
          <wp:inline distT="0" distB="0" distL="0" distR="0">
            <wp:extent cx="6120130" cy="681885"/>
            <wp:effectExtent l="0" t="0" r="0" b="4445"/>
            <wp:docPr id="53" name="Obrázek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120130" cy="681885"/>
                    </a:xfrm>
                    <a:prstGeom prst="rect">
                      <a:avLst/>
                    </a:prstGeom>
                    <a:noFill/>
                    <a:ln>
                      <a:noFill/>
                    </a:ln>
                  </pic:spPr>
                </pic:pic>
              </a:graphicData>
            </a:graphic>
          </wp:inline>
        </w:drawing>
      </w:r>
      <w:r w:rsidR="00E11515" w:rsidRPr="00E11515">
        <w:rPr>
          <w:noProof/>
        </w:rPr>
        <w:t xml:space="preserve">                       </w:t>
      </w:r>
      <w:r w:rsidR="00E11515" w:rsidRPr="00E11515">
        <w:rPr>
          <w:i/>
        </w:rPr>
        <w:t>Poznámka: údaje jsou bez prostředků z rozpočtu EU.</w:t>
      </w:r>
    </w:p>
    <w:p w:rsidR="00E11515" w:rsidRPr="00E11515" w:rsidRDefault="00E11515" w:rsidP="00E11515">
      <w:pPr>
        <w:keepNext/>
        <w:numPr>
          <w:ilvl w:val="2"/>
          <w:numId w:val="0"/>
        </w:numPr>
        <w:tabs>
          <w:tab w:val="num" w:pos="851"/>
          <w:tab w:val="num" w:pos="1135"/>
        </w:tabs>
        <w:spacing w:before="240"/>
        <w:outlineLvl w:val="2"/>
        <w:rPr>
          <w:rFonts w:cs="Arial"/>
          <w:b/>
          <w:bCs/>
          <w:sz w:val="24"/>
          <w:szCs w:val="26"/>
        </w:rPr>
        <w:sectPr w:rsidR="00E11515" w:rsidRPr="00E11515" w:rsidSect="00576069">
          <w:type w:val="continuous"/>
          <w:pgSz w:w="11906" w:h="16838" w:code="9"/>
          <w:pgMar w:top="1134" w:right="1134" w:bottom="1418" w:left="1134" w:header="709" w:footer="709" w:gutter="0"/>
          <w:cols w:space="397"/>
          <w:docGrid w:linePitch="360"/>
        </w:sectPr>
      </w:pPr>
    </w:p>
    <w:p w:rsidR="00E11515" w:rsidRPr="00E11515" w:rsidRDefault="00E11515" w:rsidP="00CD1DF6">
      <w:pPr>
        <w:pStyle w:val="Nadpis3"/>
      </w:pPr>
      <w:bookmarkStart w:id="130" w:name="_Toc112771422"/>
      <w:bookmarkStart w:id="131" w:name="_Toc145662062"/>
      <w:r w:rsidRPr="00E11515">
        <w:t xml:space="preserve">Výdaje na </w:t>
      </w:r>
      <w:bookmarkEnd w:id="126"/>
      <w:r w:rsidRPr="00E11515">
        <w:t>obranu</w:t>
      </w:r>
      <w:bookmarkEnd w:id="130"/>
      <w:bookmarkEnd w:id="131"/>
    </w:p>
    <w:p w:rsidR="00E11515" w:rsidRPr="00E11515" w:rsidRDefault="00E11515" w:rsidP="00E11515">
      <w:pPr>
        <w:sectPr w:rsidR="00E11515" w:rsidRPr="00E11515" w:rsidSect="00576069">
          <w:type w:val="continuous"/>
          <w:pgSz w:w="11906" w:h="16838" w:code="9"/>
          <w:pgMar w:top="1134" w:right="1134" w:bottom="1418" w:left="1134" w:header="709" w:footer="709" w:gutter="0"/>
          <w:cols w:space="397"/>
          <w:docGrid w:linePitch="360"/>
        </w:sectPr>
      </w:pPr>
    </w:p>
    <w:p w:rsidR="00F72AB5" w:rsidRPr="00F72AB5" w:rsidRDefault="00F72AB5" w:rsidP="00F72AB5">
      <w:pPr>
        <w:pStyle w:val="SRTextnomal"/>
      </w:pPr>
      <w:r w:rsidRPr="00F72AB5">
        <w:t>Při stanovení celkových výdajů na obranu státu bylo postupováno v souladu s platnou legislativou, zákonem č.</w:t>
      </w:r>
      <w:r>
        <w:t> </w:t>
      </w:r>
      <w:r w:rsidRPr="00F72AB5">
        <w:t>177/2023 Sb., o financování obrany České republiky.</w:t>
      </w:r>
    </w:p>
    <w:p w:rsidR="00AF48AC" w:rsidRPr="00AF48AC" w:rsidRDefault="00F72AB5" w:rsidP="00F72AB5">
      <w:pPr>
        <w:pStyle w:val="SRTextnomal"/>
      </w:pPr>
      <w:r w:rsidRPr="00F72AB5">
        <w:t>Výdaje na obranu státu mají být podle této normy plánovány v minimální výši 2 % nominálního HDP vyčíslené na</w:t>
      </w:r>
      <w:r>
        <w:t> </w:t>
      </w:r>
      <w:r w:rsidRPr="00F72AB5">
        <w:t>základě prognózy v Rozpočtové strategii sektoru veřejných institucí podle</w:t>
      </w:r>
      <w:r w:rsidR="00532F83">
        <w:t xml:space="preserve"> zákona o pravidlech rozpočtové o</w:t>
      </w:r>
      <w:r w:rsidR="007B1DB7">
        <w:t>d</w:t>
      </w:r>
      <w:r w:rsidR="00532F83">
        <w:t>povědnosti.</w:t>
      </w:r>
    </w:p>
    <w:p w:rsidR="00AF48AC" w:rsidRPr="00AF48AC" w:rsidRDefault="00AF48AC" w:rsidP="002438AB">
      <w:pPr>
        <w:pStyle w:val="SRTextnomal"/>
      </w:pPr>
      <w:r w:rsidRPr="00AF48AC">
        <w:t>V roce 202</w:t>
      </w:r>
      <w:r w:rsidR="00C461A7">
        <w:t>6</w:t>
      </w:r>
      <w:r w:rsidRPr="00AF48AC">
        <w:t xml:space="preserve"> je na tyto výdaje ve státním rozpočtu vyčleněna částka 16</w:t>
      </w:r>
      <w:r w:rsidR="005A2646">
        <w:t>7</w:t>
      </w:r>
      <w:r w:rsidR="00C461A7">
        <w:t>,8</w:t>
      </w:r>
      <w:r w:rsidR="00E67875">
        <w:t> </w:t>
      </w:r>
      <w:r w:rsidRPr="00AF48AC">
        <w:t>mld.</w:t>
      </w:r>
      <w:r w:rsidR="00E67875">
        <w:t> </w:t>
      </w:r>
      <w:r w:rsidRPr="00AF48AC">
        <w:t xml:space="preserve">Kč. Z této výše je částka </w:t>
      </w:r>
      <w:r w:rsidRPr="00AF48AC">
        <w:t>1</w:t>
      </w:r>
      <w:r w:rsidR="005A2646">
        <w:t>60</w:t>
      </w:r>
      <w:r w:rsidRPr="00AF48AC">
        <w:t>,</w:t>
      </w:r>
      <w:r w:rsidR="005A2646">
        <w:t>6</w:t>
      </w:r>
      <w:r w:rsidR="00E67875">
        <w:t> </w:t>
      </w:r>
      <w:r w:rsidRPr="00AF48AC">
        <w:t>mld. Kč plánována v kapitole Ministerstvo obrany, což činí 9</w:t>
      </w:r>
      <w:r w:rsidR="00C461A7">
        <w:t>5</w:t>
      </w:r>
      <w:r w:rsidRPr="00AF48AC">
        <w:t>,</w:t>
      </w:r>
      <w:r w:rsidR="005A2646">
        <w:t>7</w:t>
      </w:r>
      <w:r w:rsidR="00E67875">
        <w:t> </w:t>
      </w:r>
      <w:r w:rsidRPr="00AF48AC">
        <w:t>% celkových výdajů na obranu státu.</w:t>
      </w:r>
    </w:p>
    <w:p w:rsidR="00AF48AC" w:rsidRPr="00AF48AC" w:rsidRDefault="00AF48AC" w:rsidP="002438AB">
      <w:pPr>
        <w:pStyle w:val="SRTextnomal"/>
      </w:pPr>
      <w:r w:rsidRPr="00AF48AC">
        <w:t>V roce 202</w:t>
      </w:r>
      <w:r w:rsidR="00C461A7">
        <w:t>7</w:t>
      </w:r>
      <w:r w:rsidRPr="00AF48AC">
        <w:t xml:space="preserve"> je na výdaje na obranu státu vyčleněna částka 17</w:t>
      </w:r>
      <w:r w:rsidR="005A2646">
        <w:t>5</w:t>
      </w:r>
      <w:r w:rsidRPr="00AF48AC">
        <w:t>,</w:t>
      </w:r>
      <w:r w:rsidR="005A2646">
        <w:t>3</w:t>
      </w:r>
      <w:r w:rsidR="00E67875">
        <w:t> </w:t>
      </w:r>
      <w:r w:rsidRPr="00AF48AC">
        <w:t>mld.</w:t>
      </w:r>
      <w:r w:rsidR="00E67875">
        <w:t> </w:t>
      </w:r>
      <w:r w:rsidRPr="00AF48AC">
        <w:t>Kč. Z této výše je částka 16</w:t>
      </w:r>
      <w:r w:rsidR="005A2646">
        <w:t>7</w:t>
      </w:r>
      <w:r w:rsidRPr="00AF48AC">
        <w:t>,</w:t>
      </w:r>
      <w:r w:rsidR="005A2646">
        <w:t>8</w:t>
      </w:r>
      <w:r w:rsidR="00E67875">
        <w:t> </w:t>
      </w:r>
      <w:r w:rsidRPr="00AF48AC">
        <w:t>mld.</w:t>
      </w:r>
      <w:r w:rsidR="00E67875">
        <w:t> </w:t>
      </w:r>
      <w:r w:rsidRPr="00AF48AC">
        <w:t>Kč plánována v kapitole Ministerstvo obrany, což činí 95,</w:t>
      </w:r>
      <w:r w:rsidR="00C461A7">
        <w:t>7</w:t>
      </w:r>
      <w:r w:rsidR="00E67875">
        <w:t> </w:t>
      </w:r>
      <w:r w:rsidRPr="00AF48AC">
        <w:t>% celkových výdajů na obranu státu.</w:t>
      </w:r>
    </w:p>
    <w:p w:rsidR="00E11515" w:rsidRPr="00E11515" w:rsidRDefault="00AF48AC" w:rsidP="002438AB">
      <w:pPr>
        <w:pStyle w:val="SRTextnomal"/>
      </w:pPr>
      <w:r w:rsidRPr="00AF48AC">
        <w:t>Obranné výdaje jsou dále identifikovány v dalších rozpočtových kapitolách podle níže uvedené tabulky.</w:t>
      </w:r>
    </w:p>
    <w:p w:rsidR="00E11515" w:rsidRPr="00E11515" w:rsidRDefault="00E11515" w:rsidP="00E11515">
      <w:pPr>
        <w:sectPr w:rsidR="00E11515" w:rsidRPr="00E11515" w:rsidSect="00576069">
          <w:type w:val="continuous"/>
          <w:pgSz w:w="11906" w:h="16838" w:code="9"/>
          <w:pgMar w:top="1134" w:right="1134" w:bottom="1418" w:left="1134" w:header="709" w:footer="709" w:gutter="0"/>
          <w:cols w:num="2" w:space="397"/>
          <w:docGrid w:linePitch="360"/>
        </w:sectPr>
      </w:pPr>
    </w:p>
    <w:p w:rsidR="00E11515" w:rsidRPr="00D74F22" w:rsidRDefault="00E11515" w:rsidP="0033216C">
      <w:pPr>
        <w:pStyle w:val="SRtitulek1"/>
      </w:pPr>
      <w:bookmarkStart w:id="132" w:name="_Toc145662011"/>
      <w:bookmarkStart w:id="133" w:name="_Toc175914460"/>
      <w:r w:rsidRPr="00D74F22">
        <w:t xml:space="preserve">Tabulka </w:t>
      </w:r>
      <w:fldSimple w:instr=" SEQ Tabulka \* ARABIC ">
        <w:r w:rsidR="001773BF">
          <w:rPr>
            <w:noProof/>
          </w:rPr>
          <w:t>20</w:t>
        </w:r>
      </w:fldSimple>
      <w:r w:rsidRPr="00D74F22">
        <w:t xml:space="preserve"> Výdaje na obranu </w:t>
      </w:r>
      <w:r w:rsidR="00712602">
        <w:t xml:space="preserve">státu podle kapitol </w:t>
      </w:r>
      <w:r w:rsidRPr="00D74F22">
        <w:t>v letech 20</w:t>
      </w:r>
      <w:r w:rsidR="00712602">
        <w:t>2</w:t>
      </w:r>
      <w:r w:rsidR="00DF0A1F">
        <w:t>5</w:t>
      </w:r>
      <w:r w:rsidRPr="00D74F22">
        <w:t xml:space="preserve"> – 202</w:t>
      </w:r>
      <w:r w:rsidR="00DF0A1F">
        <w:t>7</w:t>
      </w:r>
      <w:r w:rsidRPr="00D74F22">
        <w:t xml:space="preserve"> </w:t>
      </w:r>
      <w:r w:rsidRPr="00E718F6">
        <w:rPr>
          <w:i/>
        </w:rPr>
        <w:t>(v Kč)</w:t>
      </w:r>
      <w:bookmarkEnd w:id="132"/>
      <w:bookmarkEnd w:id="133"/>
    </w:p>
    <w:p w:rsidR="00E11515" w:rsidRDefault="00C461A7" w:rsidP="00E11515">
      <w:pPr>
        <w:rPr>
          <w:i/>
          <w:sz w:val="18"/>
          <w:szCs w:val="18"/>
        </w:rPr>
      </w:pPr>
      <w:r w:rsidRPr="00C461A7">
        <w:rPr>
          <w:noProof/>
          <w:lang w:val="en-US" w:eastAsia="en-US"/>
        </w:rPr>
        <w:drawing>
          <wp:inline distT="0" distB="0" distL="0" distR="0">
            <wp:extent cx="6120130" cy="2900240"/>
            <wp:effectExtent l="0" t="0" r="0" b="0"/>
            <wp:docPr id="56" name="Obrázek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6120130" cy="2900240"/>
                    </a:xfrm>
                    <a:prstGeom prst="rect">
                      <a:avLst/>
                    </a:prstGeom>
                    <a:noFill/>
                    <a:ln>
                      <a:noFill/>
                    </a:ln>
                  </pic:spPr>
                </pic:pic>
              </a:graphicData>
            </a:graphic>
          </wp:inline>
        </w:drawing>
      </w:r>
    </w:p>
    <w:p w:rsidR="00AE5E41" w:rsidRPr="00232C0B" w:rsidRDefault="00AE5E41" w:rsidP="0033216C">
      <w:pPr>
        <w:pStyle w:val="SRtitulek1"/>
        <w:rPr>
          <w:strike/>
          <w:highlight w:val="yellow"/>
        </w:rPr>
      </w:pPr>
    </w:p>
    <w:p w:rsidR="00E11515" w:rsidRPr="008677AC" w:rsidRDefault="00E11515" w:rsidP="00E11515">
      <w:pPr>
        <w:sectPr w:rsidR="00E11515" w:rsidRPr="008677AC" w:rsidSect="00576069">
          <w:type w:val="continuous"/>
          <w:pgSz w:w="11906" w:h="16838" w:code="9"/>
          <w:pgMar w:top="1134" w:right="1134" w:bottom="1418" w:left="1134" w:header="709" w:footer="709" w:gutter="0"/>
          <w:cols w:space="709"/>
          <w:docGrid w:linePitch="360"/>
        </w:sectPr>
      </w:pPr>
    </w:p>
    <w:p w:rsidR="00E11515" w:rsidRPr="008677AC" w:rsidRDefault="00E11515" w:rsidP="00CD1DF6">
      <w:pPr>
        <w:pStyle w:val="Nadpis2"/>
      </w:pPr>
      <w:bookmarkStart w:id="134" w:name="_Toc52369412"/>
      <w:bookmarkStart w:id="135" w:name="_Toc112771423"/>
      <w:bookmarkStart w:id="136" w:name="_Toc145662063"/>
      <w:bookmarkStart w:id="137" w:name="_Toc175914420"/>
      <w:r w:rsidRPr="008677AC">
        <w:t>Předpokládaný způsob financování deficitu</w:t>
      </w:r>
      <w:bookmarkEnd w:id="134"/>
      <w:bookmarkEnd w:id="135"/>
      <w:bookmarkEnd w:id="136"/>
      <w:bookmarkEnd w:id="137"/>
    </w:p>
    <w:p w:rsidR="00E11515" w:rsidRPr="00E11515" w:rsidRDefault="00E11515" w:rsidP="00E11515">
      <w:pPr>
        <w:sectPr w:rsidR="00E11515" w:rsidRPr="00E11515" w:rsidSect="00576069">
          <w:type w:val="continuous"/>
          <w:pgSz w:w="11906" w:h="16838" w:code="9"/>
          <w:pgMar w:top="1134" w:right="1134" w:bottom="1418" w:left="1134" w:header="709" w:footer="709" w:gutter="0"/>
          <w:cols w:space="709"/>
          <w:docGrid w:linePitch="360"/>
        </w:sectPr>
      </w:pPr>
    </w:p>
    <w:p w:rsidR="00E11515" w:rsidRPr="00E11515" w:rsidRDefault="00E11515" w:rsidP="002438AB">
      <w:pPr>
        <w:pStyle w:val="SRTextnomal"/>
      </w:pPr>
      <w:r w:rsidRPr="00E11515">
        <w:t>V předloženém střednědobém výhledu státního rozpočtu se předpokládá, že schodky státního rozpočtu budou pokryty změnou stavu na účtech státních finančních aktiv a změnou stavu státního dluhu.</w:t>
      </w:r>
      <w:r w:rsidRPr="00E11515">
        <w:br w:type="page"/>
      </w:r>
    </w:p>
    <w:p w:rsidR="003D5428" w:rsidRPr="003D5428" w:rsidRDefault="003D5428" w:rsidP="00EC46A9">
      <w:pPr>
        <w:pStyle w:val="Nadpis1"/>
        <w:tabs>
          <w:tab w:val="clear" w:pos="6663"/>
          <w:tab w:val="num" w:pos="567"/>
        </w:tabs>
        <w:ind w:left="567"/>
      </w:pPr>
      <w:bookmarkStart w:id="138" w:name="_Toc52369413"/>
      <w:bookmarkStart w:id="139" w:name="_Toc112771424"/>
      <w:bookmarkStart w:id="140" w:name="_Toc145662064"/>
      <w:bookmarkStart w:id="141" w:name="_Toc175914421"/>
      <w:r w:rsidRPr="003D5428">
        <w:lastRenderedPageBreak/>
        <w:t>Základní ukazatele státních fondů ve střednědobém výhledu</w:t>
      </w:r>
      <w:bookmarkEnd w:id="138"/>
      <w:bookmarkEnd w:id="139"/>
      <w:bookmarkEnd w:id="140"/>
      <w:bookmarkEnd w:id="141"/>
    </w:p>
    <w:p w:rsidR="003D5428" w:rsidRPr="003D5428" w:rsidRDefault="003D5428" w:rsidP="003D5428">
      <w:pPr>
        <w:sectPr w:rsidR="003D5428" w:rsidRPr="003D5428" w:rsidSect="00A26DEA">
          <w:type w:val="continuous"/>
          <w:pgSz w:w="11906" w:h="16838" w:code="9"/>
          <w:pgMar w:top="1134" w:right="1134" w:bottom="1418" w:left="1134" w:header="709" w:footer="709" w:gutter="0"/>
          <w:cols w:space="709"/>
          <w:docGrid w:linePitch="360"/>
        </w:sectPr>
      </w:pPr>
    </w:p>
    <w:p w:rsidR="003D5428" w:rsidRPr="003D5428" w:rsidRDefault="003D5428" w:rsidP="002438AB">
      <w:pPr>
        <w:pStyle w:val="SRTextnomal"/>
      </w:pPr>
      <w:r w:rsidRPr="003D5428">
        <w:t>Státní fondy jsou samostatné právnické osoby zřízené příslušnými zákony. Střednědobý výhled státních fondů obsahuje očekávané příjmy a výdaje státních fondů na rok, na který je předkládán návrh státního rozpočtu a na dva roky bezprostředně následující po tomto roce. V České republice jsou zřízeny následující státní fondy:</w:t>
      </w:r>
    </w:p>
    <w:p w:rsidR="003D5428" w:rsidRPr="003D5428" w:rsidRDefault="003D5428" w:rsidP="003D5428">
      <w:r w:rsidRPr="003D5428">
        <w:t>Státní fond dopravní infrastruktury;</w:t>
      </w:r>
    </w:p>
    <w:p w:rsidR="003D5428" w:rsidRPr="003D5428" w:rsidRDefault="003D5428" w:rsidP="003D5428">
      <w:r w:rsidRPr="003D5428">
        <w:t>Státní zemědělský intervenční fond;</w:t>
      </w:r>
    </w:p>
    <w:p w:rsidR="003D5428" w:rsidRPr="003D5428" w:rsidRDefault="003D5428" w:rsidP="003D5428">
      <w:r w:rsidRPr="003D5428">
        <w:t>Státní fond kinematografie;</w:t>
      </w:r>
    </w:p>
    <w:p w:rsidR="003D5428" w:rsidRPr="003D5428" w:rsidRDefault="003D5428" w:rsidP="003D5428">
      <w:r w:rsidRPr="003D5428">
        <w:t>Státní fond kultury České republiky;</w:t>
      </w:r>
    </w:p>
    <w:p w:rsidR="003D5428" w:rsidRPr="003D5428" w:rsidRDefault="003D5428" w:rsidP="003D5428">
      <w:r w:rsidRPr="003D5428">
        <w:t>Státní fond podpory investic;</w:t>
      </w:r>
    </w:p>
    <w:p w:rsidR="003D5428" w:rsidRPr="003D5428" w:rsidRDefault="003D5428" w:rsidP="003D5428">
      <w:pPr>
        <w:sectPr w:rsidR="003D5428" w:rsidRPr="003D5428" w:rsidSect="00A26DEA">
          <w:type w:val="continuous"/>
          <w:pgSz w:w="11906" w:h="16838" w:code="9"/>
          <w:pgMar w:top="1134" w:right="1134" w:bottom="1418" w:left="1134" w:header="709" w:footer="709" w:gutter="0"/>
          <w:cols w:num="2" w:space="397"/>
          <w:docGrid w:linePitch="360"/>
        </w:sectPr>
      </w:pPr>
      <w:r w:rsidRPr="003D5428">
        <w:t>Státní fond životního prostředí České republiky.</w:t>
      </w:r>
    </w:p>
    <w:p w:rsidR="003D5428" w:rsidRPr="003D5428" w:rsidRDefault="003D5428" w:rsidP="003D5428"/>
    <w:p w:rsidR="003D5428" w:rsidRPr="003D5428" w:rsidRDefault="003D5428" w:rsidP="003D5428">
      <w:pPr>
        <w:sectPr w:rsidR="003D5428" w:rsidRPr="003D5428" w:rsidSect="00A26DEA">
          <w:type w:val="continuous"/>
          <w:pgSz w:w="11906" w:h="16838" w:code="9"/>
          <w:pgMar w:top="1134" w:right="1134" w:bottom="1418" w:left="1134" w:header="709" w:footer="709" w:gutter="0"/>
          <w:cols w:space="709"/>
          <w:docGrid w:linePitch="360"/>
        </w:sectPr>
      </w:pPr>
    </w:p>
    <w:p w:rsidR="003D5428" w:rsidRPr="003D5428" w:rsidRDefault="003D5428" w:rsidP="003D5428">
      <w:pPr>
        <w:pStyle w:val="Nadpis2"/>
      </w:pPr>
      <w:bookmarkStart w:id="142" w:name="_Toc52369414"/>
      <w:bookmarkStart w:id="143" w:name="_Toc112771425"/>
      <w:bookmarkStart w:id="144" w:name="_Toc145662065"/>
      <w:bookmarkStart w:id="145" w:name="_Toc175914422"/>
      <w:r w:rsidRPr="003D5428">
        <w:t>Státní fond dopravní infrastruktury</w:t>
      </w:r>
      <w:bookmarkEnd w:id="142"/>
      <w:r w:rsidRPr="003D5428">
        <w:t xml:space="preserve"> (SFDI)</w:t>
      </w:r>
      <w:bookmarkEnd w:id="143"/>
      <w:bookmarkEnd w:id="144"/>
      <w:bookmarkEnd w:id="145"/>
    </w:p>
    <w:p w:rsidR="003D5428" w:rsidRPr="003D5428" w:rsidRDefault="003D5428" w:rsidP="003D5428">
      <w:pPr>
        <w:sectPr w:rsidR="003D5428" w:rsidRPr="003D5428" w:rsidSect="00A26DEA">
          <w:type w:val="continuous"/>
          <w:pgSz w:w="11906" w:h="16838" w:code="9"/>
          <w:pgMar w:top="1134" w:right="1134" w:bottom="1418" w:left="1134" w:header="709" w:footer="709" w:gutter="0"/>
          <w:cols w:space="709"/>
          <w:docGrid w:linePitch="360"/>
        </w:sectPr>
      </w:pPr>
    </w:p>
    <w:p w:rsidR="00CC0B68" w:rsidRDefault="00CC0B68" w:rsidP="00CC0B68">
      <w:pPr>
        <w:pStyle w:val="SRTextnomal"/>
      </w:pPr>
      <w:r>
        <w:t>Rozpočet SFDI na rok 2025 je sestaven jako vybilancovaný, na straně příjmů i výdajů ve výši 1</w:t>
      </w:r>
      <w:r w:rsidR="000F30B8">
        <w:t>51</w:t>
      </w:r>
      <w:r>
        <w:t>,</w:t>
      </w:r>
      <w:r w:rsidR="000F30B8">
        <w:t>3</w:t>
      </w:r>
      <w:r w:rsidR="00B06164">
        <w:t> </w:t>
      </w:r>
      <w:r>
        <w:t>mld.</w:t>
      </w:r>
      <w:r w:rsidR="00B06164">
        <w:t> </w:t>
      </w:r>
      <w:r>
        <w:t>Kč. V rámci střednědobého výhledu jsou pro rok 2026 příjmy rozpočtovány ve výši 87,3 mld. Kč a výdaje ve výši 83,5 mld. Kč (bez prostředků EU a FM). Na rok 2027 jsou příjmy rozpočtovány rovněž ve výši 87,3 mld. Kč a návrh výdajů činí 81,2 mld. Kč (bez prostředků EU a FM). Důvodem přebytkových rozpočtů je provedení finančních operací, konkrétně úhrad jistiny úvěru od MF.</w:t>
      </w:r>
    </w:p>
    <w:p w:rsidR="00CC0B68" w:rsidRDefault="00CC0B68" w:rsidP="00CC0B68">
      <w:pPr>
        <w:pStyle w:val="SRTextnomal"/>
      </w:pPr>
      <w:r>
        <w:t>Daňové příjmy jsou v návrhu na rok 2025 rozpočtovány v celkové výši 33,9 mld. Kč. Výnos z mýtného se předpokládá ve výši 17,8 mld. Kč, spotřební daň z minerálních olejů činí 8,1 mld. Kč a příjmy z poplatků za užívání zpoplatněné pozemní komunikace se očekávají ve výši 8</w:t>
      </w:r>
      <w:r w:rsidR="00B06164">
        <w:t> </w:t>
      </w:r>
      <w:r>
        <w:t>mld.</w:t>
      </w:r>
      <w:r w:rsidR="00B06164">
        <w:t> </w:t>
      </w:r>
      <w:r>
        <w:t xml:space="preserve"> </w:t>
      </w:r>
      <w:r>
        <w:t>Kč. Transfer z kapitoly Ministerstvo dopravy je pro rok 2025 stanoven ve výši 1</w:t>
      </w:r>
      <w:r w:rsidR="000F30B8">
        <w:t>17</w:t>
      </w:r>
      <w:r>
        <w:t>,</w:t>
      </w:r>
      <w:r w:rsidR="000F30B8">
        <w:t>4</w:t>
      </w:r>
      <w:r>
        <w:t xml:space="preserve"> mld. Kč, ve výši 52,6 mld. Kč v roce 2026 a ve výši 52 mld. Kč v roce 2027.</w:t>
      </w:r>
    </w:p>
    <w:p w:rsidR="003D5428" w:rsidRPr="003D5428" w:rsidRDefault="00CC0B68" w:rsidP="002438AB">
      <w:pPr>
        <w:pStyle w:val="SRTextnomal"/>
      </w:pPr>
      <w:r>
        <w:t>Na výdajové straně v roce 2025 z celkových výdajů ve výši 1</w:t>
      </w:r>
      <w:r w:rsidR="00A61EF6">
        <w:t>51</w:t>
      </w:r>
      <w:r>
        <w:t>,3 mld. Kč tvoří rozhodující část výdaje určené na výstavbu, modernizaci, opravy a údržbu silnic, dálnic, celostátních i regionálních drah, na výstavbu a modernizaci vodních cest a na příspěvkové programy. SFDI bude v roce 2025 také pokračovat ve financování poradenských služeb souvisejících zejména s projektem PPP k výstavbě dálnice D35. V případě projektu PPP D4 je v souvislosti se zprovozněním daného úseku v rozpočtu SFDI pro rok 2025 rozpočtována platba za dostupnost ve výši 1,9 mld. Kč.</w:t>
      </w:r>
    </w:p>
    <w:p w:rsidR="003D5428" w:rsidRPr="003D5428" w:rsidRDefault="003D5428" w:rsidP="003D5428">
      <w:pPr>
        <w:sectPr w:rsidR="003D5428" w:rsidRPr="003D5428" w:rsidSect="00A26DEA">
          <w:type w:val="continuous"/>
          <w:pgSz w:w="11906" w:h="16838" w:code="9"/>
          <w:pgMar w:top="1134" w:right="1134" w:bottom="1418" w:left="1134" w:header="709" w:footer="709" w:gutter="0"/>
          <w:cols w:num="2" w:space="397"/>
          <w:docGrid w:linePitch="360"/>
        </w:sectPr>
      </w:pPr>
    </w:p>
    <w:p w:rsidR="003D5428" w:rsidRPr="00D74F22" w:rsidRDefault="003D5428" w:rsidP="0033216C">
      <w:pPr>
        <w:pStyle w:val="SRtitulek1"/>
      </w:pPr>
      <w:bookmarkStart w:id="146" w:name="_Toc145662012"/>
      <w:bookmarkStart w:id="147" w:name="_Toc175914461"/>
      <w:r w:rsidRPr="00D74F22">
        <w:t xml:space="preserve">Tabulka </w:t>
      </w:r>
      <w:r w:rsidRPr="003D5428">
        <w:fldChar w:fldCharType="begin"/>
      </w:r>
      <w:r w:rsidRPr="00D74F22">
        <w:instrText xml:space="preserve"> SEQ Tabulka \* ARABIC </w:instrText>
      </w:r>
      <w:r w:rsidRPr="003D5428">
        <w:fldChar w:fldCharType="separate"/>
      </w:r>
      <w:r w:rsidR="001773BF">
        <w:rPr>
          <w:noProof/>
        </w:rPr>
        <w:t>21</w:t>
      </w:r>
      <w:r w:rsidRPr="003D5428">
        <w:fldChar w:fldCharType="end"/>
      </w:r>
      <w:r w:rsidRPr="00D74F22">
        <w:t xml:space="preserve"> Státní fond dopravní infrastruktury v letech 202</w:t>
      </w:r>
      <w:r w:rsidR="00F962C0">
        <w:t>5</w:t>
      </w:r>
      <w:r w:rsidRPr="00D74F22">
        <w:t xml:space="preserve"> – 202</w:t>
      </w:r>
      <w:r w:rsidR="00F962C0">
        <w:t>7</w:t>
      </w:r>
      <w:r w:rsidRPr="00D74F22">
        <w:t xml:space="preserve"> </w:t>
      </w:r>
      <w:r w:rsidRPr="00E718F6">
        <w:rPr>
          <w:i/>
        </w:rPr>
        <w:t>(v Kč)</w:t>
      </w:r>
      <w:bookmarkEnd w:id="146"/>
      <w:bookmarkEnd w:id="147"/>
    </w:p>
    <w:p w:rsidR="003D5428" w:rsidRPr="003D5428" w:rsidRDefault="000F30B8" w:rsidP="003D5428">
      <w:r w:rsidRPr="000F30B8">
        <w:rPr>
          <w:noProof/>
          <w:lang w:val="en-US" w:eastAsia="en-US"/>
        </w:rPr>
        <w:drawing>
          <wp:inline distT="0" distB="0" distL="0" distR="0">
            <wp:extent cx="6120130" cy="1395819"/>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6120130" cy="1395819"/>
                    </a:xfrm>
                    <a:prstGeom prst="rect">
                      <a:avLst/>
                    </a:prstGeom>
                    <a:noFill/>
                    <a:ln>
                      <a:noFill/>
                    </a:ln>
                  </pic:spPr>
                </pic:pic>
              </a:graphicData>
            </a:graphic>
          </wp:inline>
        </w:drawing>
      </w:r>
    </w:p>
    <w:p w:rsidR="003D5428" w:rsidRPr="003D5428" w:rsidRDefault="003D5428" w:rsidP="003D5428">
      <w:pPr>
        <w:pStyle w:val="Nadpis2"/>
      </w:pPr>
      <w:bookmarkStart w:id="148" w:name="_Toc52369415"/>
      <w:bookmarkStart w:id="149" w:name="_Toc112771426"/>
      <w:bookmarkStart w:id="150" w:name="_Toc145662066"/>
      <w:bookmarkStart w:id="151" w:name="_Toc175914423"/>
      <w:r w:rsidRPr="003D5428">
        <w:t>Státní zemědělský intervenční fond</w:t>
      </w:r>
      <w:bookmarkEnd w:id="148"/>
      <w:r w:rsidRPr="003D5428">
        <w:t xml:space="preserve"> (SZIF)</w:t>
      </w:r>
      <w:bookmarkEnd w:id="149"/>
      <w:bookmarkEnd w:id="150"/>
      <w:bookmarkEnd w:id="151"/>
    </w:p>
    <w:p w:rsidR="003D5428" w:rsidRPr="003D5428" w:rsidRDefault="003D5428" w:rsidP="003D5428">
      <w:pPr>
        <w:sectPr w:rsidR="003D5428" w:rsidRPr="003D5428" w:rsidSect="00A26DEA">
          <w:type w:val="continuous"/>
          <w:pgSz w:w="11906" w:h="16838" w:code="9"/>
          <w:pgMar w:top="1134" w:right="1134" w:bottom="1418" w:left="1134" w:header="709" w:footer="709" w:gutter="0"/>
          <w:cols w:space="709"/>
          <w:docGrid w:linePitch="360"/>
        </w:sectPr>
      </w:pPr>
    </w:p>
    <w:p w:rsidR="00DA14B1" w:rsidRDefault="00DA14B1" w:rsidP="00DA14B1">
      <w:pPr>
        <w:pStyle w:val="SRTextnomal"/>
      </w:pPr>
      <w:r>
        <w:t xml:space="preserve">Návrh rozpočtu příjmů na rok 2025 je v celkové výši 44,9 mld. Kč. Nejvýznamnější příjmovou položkou fondu je dotace z kapitoly Ministerstvo zemědělství ve výši 44,5 mld. Kč. Z této částky činí dotace na Společnou zemědělskou politiku částku 40 mld. Kč, na národní zemědělské dotace částku 2,2 mld. Kč, dotace na činnost fondu a ostatní dotace částku 2,3 mld. Kč. </w:t>
      </w:r>
    </w:p>
    <w:p w:rsidR="00DA14B1" w:rsidRDefault="00DA14B1" w:rsidP="00DA14B1">
      <w:pPr>
        <w:pStyle w:val="SRTextnomal"/>
      </w:pPr>
      <w:r>
        <w:t>Celkové výdaje fondu na rok 202</w:t>
      </w:r>
      <w:r w:rsidR="009C7AAA">
        <w:t>5</w:t>
      </w:r>
      <w:r>
        <w:t xml:space="preserve"> jsou rozpočtovány ve výši 44,9 mld. Kč. Fond provádí administraci řady podpor, </w:t>
      </w:r>
      <w:r>
        <w:t xml:space="preserve">které jsou poskytovány v rámci Společné zemědělské politiky (přímé platby, opatření Společné organizace trhu a Programu rozvoje venkova), a administraci výplat zemědělských národních dotací. </w:t>
      </w:r>
    </w:p>
    <w:p w:rsidR="00C750B4" w:rsidRPr="00C750B4" w:rsidRDefault="00DA14B1" w:rsidP="002438AB">
      <w:pPr>
        <w:pStyle w:val="SRTextnomal"/>
      </w:pPr>
      <w:r>
        <w:t>V letech střednědobého výhledu 2026 a 2027 se předpokládají příjmy a výdaje ve výši 13,3 mld. Kč. Výdaje na léta 202</w:t>
      </w:r>
      <w:r w:rsidR="000A50EE">
        <w:t>6</w:t>
      </w:r>
      <w:r>
        <w:t xml:space="preserve"> a 202</w:t>
      </w:r>
      <w:r w:rsidR="000A50EE">
        <w:t>7</w:t>
      </w:r>
      <w:r>
        <w:t xml:space="preserve"> neobsahují prostředky EU a FM (promítají se až při přípravě ročního rozpočtu).</w:t>
      </w:r>
    </w:p>
    <w:p w:rsidR="003D5428" w:rsidRPr="003D5428" w:rsidRDefault="003D5428" w:rsidP="003D5428">
      <w:pPr>
        <w:rPr>
          <w:b/>
          <w:bCs/>
        </w:rPr>
        <w:sectPr w:rsidR="003D5428" w:rsidRPr="003D5428" w:rsidSect="00A26DEA">
          <w:type w:val="continuous"/>
          <w:pgSz w:w="11906" w:h="16838" w:code="9"/>
          <w:pgMar w:top="1134" w:right="1134" w:bottom="1418" w:left="1134" w:header="709" w:footer="709" w:gutter="0"/>
          <w:cols w:num="2" w:space="397"/>
          <w:docGrid w:linePitch="360"/>
        </w:sectPr>
      </w:pPr>
    </w:p>
    <w:p w:rsidR="003D5428" w:rsidRPr="00D74F22" w:rsidRDefault="003D5428" w:rsidP="0033216C">
      <w:pPr>
        <w:pStyle w:val="SRtitulek1"/>
      </w:pPr>
      <w:bookmarkStart w:id="152" w:name="_Toc145662013"/>
      <w:bookmarkStart w:id="153" w:name="_Toc175914462"/>
      <w:r w:rsidRPr="00D74F22">
        <w:lastRenderedPageBreak/>
        <w:t xml:space="preserve">Tabulka </w:t>
      </w:r>
      <w:r w:rsidRPr="003D5428">
        <w:fldChar w:fldCharType="begin"/>
      </w:r>
      <w:r w:rsidRPr="00D74F22">
        <w:instrText xml:space="preserve"> SEQ Tabulka \* ARABIC </w:instrText>
      </w:r>
      <w:r w:rsidRPr="003D5428">
        <w:fldChar w:fldCharType="separate"/>
      </w:r>
      <w:r w:rsidR="001773BF">
        <w:rPr>
          <w:noProof/>
        </w:rPr>
        <w:t>22</w:t>
      </w:r>
      <w:r w:rsidRPr="003D5428">
        <w:fldChar w:fldCharType="end"/>
      </w:r>
      <w:r w:rsidRPr="00D74F22">
        <w:t xml:space="preserve"> Státní zemědělský intervenční fond v letech 202</w:t>
      </w:r>
      <w:r w:rsidR="00F962C0">
        <w:t>5</w:t>
      </w:r>
      <w:r w:rsidRPr="00D74F22">
        <w:t xml:space="preserve"> – 202</w:t>
      </w:r>
      <w:r w:rsidR="00F962C0">
        <w:t>7</w:t>
      </w:r>
      <w:r w:rsidRPr="00D74F22">
        <w:t xml:space="preserve"> </w:t>
      </w:r>
      <w:r w:rsidRPr="00E718F6">
        <w:rPr>
          <w:i/>
        </w:rPr>
        <w:t>(v Kč)</w:t>
      </w:r>
      <w:bookmarkEnd w:id="152"/>
      <w:bookmarkEnd w:id="153"/>
    </w:p>
    <w:p w:rsidR="003D5428" w:rsidRPr="003D5428" w:rsidRDefault="0097007C" w:rsidP="003D5428">
      <w:r w:rsidRPr="0097007C">
        <w:rPr>
          <w:noProof/>
          <w:lang w:val="en-US" w:eastAsia="en-US"/>
        </w:rPr>
        <w:drawing>
          <wp:inline distT="0" distB="0" distL="0" distR="0">
            <wp:extent cx="6120130" cy="1100550"/>
            <wp:effectExtent l="0" t="0" r="0" b="4445"/>
            <wp:docPr id="59" name="Obrázek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6120130" cy="1100550"/>
                    </a:xfrm>
                    <a:prstGeom prst="rect">
                      <a:avLst/>
                    </a:prstGeom>
                    <a:noFill/>
                    <a:ln>
                      <a:noFill/>
                    </a:ln>
                  </pic:spPr>
                </pic:pic>
              </a:graphicData>
            </a:graphic>
          </wp:inline>
        </w:drawing>
      </w:r>
    </w:p>
    <w:p w:rsidR="003D5428" w:rsidRPr="003D5428" w:rsidRDefault="003D5428" w:rsidP="003D5428">
      <w:pPr>
        <w:pStyle w:val="Nadpis2"/>
      </w:pPr>
      <w:bookmarkStart w:id="154" w:name="_Toc52369416"/>
      <w:bookmarkStart w:id="155" w:name="_Toc112771427"/>
      <w:bookmarkStart w:id="156" w:name="_Toc145662067"/>
      <w:bookmarkStart w:id="157" w:name="_Toc175914424"/>
      <w:r w:rsidRPr="003D5428">
        <w:t>Státní fond kinematografie</w:t>
      </w:r>
      <w:bookmarkEnd w:id="154"/>
      <w:r w:rsidRPr="003D5428">
        <w:t xml:space="preserve"> (SFKMG)</w:t>
      </w:r>
      <w:bookmarkEnd w:id="155"/>
      <w:bookmarkEnd w:id="156"/>
      <w:bookmarkEnd w:id="157"/>
    </w:p>
    <w:p w:rsidR="003D5428" w:rsidRPr="003D5428" w:rsidRDefault="003D5428" w:rsidP="003D5428">
      <w:pPr>
        <w:sectPr w:rsidR="003D5428" w:rsidRPr="003D5428" w:rsidSect="00A26DEA">
          <w:type w:val="continuous"/>
          <w:pgSz w:w="11906" w:h="16838" w:code="9"/>
          <w:pgMar w:top="1134" w:right="1134" w:bottom="1418" w:left="1134" w:header="709" w:footer="709" w:gutter="0"/>
          <w:cols w:space="709"/>
          <w:docGrid w:linePitch="360"/>
        </w:sectPr>
      </w:pPr>
    </w:p>
    <w:p w:rsidR="000D1D85" w:rsidRDefault="000D1D85" w:rsidP="000D1D85">
      <w:pPr>
        <w:pStyle w:val="SRTextnomal"/>
      </w:pPr>
      <w:r>
        <w:t xml:space="preserve">Státní fond kinematografie byl zřízen k 1. 1. 2013 zákonem č. 496/2012 Sb., o audiovizuálních dílech a podpoře kinematografie a o změně některých zákonů (zákon o audiovizi). Fond je právním nástupcem Státního fondu ČR pro podporu a rozvoj české kinematografie. Hlavní činností fondu je podpora kinematografie, kterou poskytuje v rámci dvou okruhů: filmové pobídky a podpora kinematografie.  </w:t>
      </w:r>
    </w:p>
    <w:p w:rsidR="000D1D85" w:rsidRDefault="000D1D85" w:rsidP="000D1D85">
      <w:pPr>
        <w:pStyle w:val="SRTextnomal"/>
      </w:pPr>
      <w:r>
        <w:t xml:space="preserve">Pro rok 2025 jsou celkové příjmy Státního fondu kinematografie navrženy ve výši 1,92 mld. Kč, z toho dotace ze státního rozpočtu činí 1,63 mld. Kč. Oproti roku 2024 jsou celkové příjmy fondu vyšší o 0,23 mld. Kč. Oproti roku 2024 je o 200 mil. Kč navýšena dotace ze státního rozpočtu účelově určená na filmové pobídky. Rovněž dotace ze státního rozpočtu na podporu kinematografie byla navýšena. V tomto případě se jedná se o mandatorní výdaj, jehož výše je dána zákonem č. 469/2012 Sb., odpovídá částce výnosů fondu z audiovizuálních poplatků, pro rok 2025 činí 225,5 mil. Kč. Dalšími významnými příjmy fondu jsou příjmy z audiovizuálních poplatků v předpokládané výši 194 mil. Kč a příjmy z poskytování licencí k užití filmů </w:t>
      </w:r>
      <w:r>
        <w:t>zveřejněných v letech 1965 až 1991, k nimž fond vykonává práva výrobce, v předpokládané výši 85 mil. Kč. Pro roky 2026 a 2027 jsou příjmy fondu sníženy na</w:t>
      </w:r>
      <w:r w:rsidR="00AE4B98">
        <w:t> </w:t>
      </w:r>
      <w:r>
        <w:t>1,12</w:t>
      </w:r>
      <w:r w:rsidR="00AE4B98">
        <w:t> </w:t>
      </w:r>
      <w:r>
        <w:t>mld. Kč, neboť je oproti roku 2025 o 800 mil. Kč snížena dotace účelově určená na filmové pobídky.</w:t>
      </w:r>
    </w:p>
    <w:p w:rsidR="003D5428" w:rsidRPr="003D5428" w:rsidRDefault="000D1D85" w:rsidP="002438AB">
      <w:pPr>
        <w:pStyle w:val="SRTextnomal"/>
      </w:pPr>
      <w:r>
        <w:t>Celkové výdaje Státního fondu kinematografie jsou pro rok 2025 navrženy ve výši 1,92 mld. Kč. Rozpočet je sestaven jako vyrovnaný. V návaznosti na zvýšení příjmů fondu jsou oproti roku 2024 i celkové výdaje fondu vyšší o 0,23</w:t>
      </w:r>
      <w:r w:rsidR="00AE4B98">
        <w:t> </w:t>
      </w:r>
      <w:r>
        <w:t xml:space="preserve">mld. Kč. Největší objem výdajů připadá na filmové pobídky, na něž je pro rok 2025 vyčleněno 1,40 mld. Kč. Tato částka odpovídá výši dotace ze státního rozpočtu účelově určené na filmové pobídky, neboť ta je jediným zákonným zdrojem, ze kterého mohou být filmové pobídky poskytovány. Na podporu kinematografie je vyčleněno 419,5 mil. Kč. Na administraci projektů a poplatků a zabezpečení činnosti fondu je navrženo 98,5 mil. Kč. Pro roky 2026 a 2027 jsou výdaje fondu sníženy na 1,12 mld. Kč. V návaznosti na snížení příjmů fondu jsou oproti rokům 2026 a 2027 o 800 mil. Kč sníženy prostředky na poskytování filmových pobídek. </w:t>
      </w:r>
    </w:p>
    <w:p w:rsidR="003D5428" w:rsidRPr="003D5428" w:rsidRDefault="003D5428" w:rsidP="003D5428">
      <w:pPr>
        <w:sectPr w:rsidR="003D5428" w:rsidRPr="003D5428" w:rsidSect="00A26DEA">
          <w:type w:val="continuous"/>
          <w:pgSz w:w="11906" w:h="16838" w:code="9"/>
          <w:pgMar w:top="1134" w:right="1134" w:bottom="1418" w:left="1134" w:header="709" w:footer="709" w:gutter="0"/>
          <w:cols w:num="2" w:space="397"/>
          <w:docGrid w:linePitch="360"/>
        </w:sectPr>
      </w:pPr>
    </w:p>
    <w:p w:rsidR="003D5428" w:rsidRPr="00D74F22" w:rsidRDefault="003D5428" w:rsidP="0033216C">
      <w:pPr>
        <w:pStyle w:val="SRtitulek1"/>
      </w:pPr>
      <w:bookmarkStart w:id="158" w:name="_Toc145662014"/>
      <w:bookmarkStart w:id="159" w:name="_Toc175914463"/>
      <w:r w:rsidRPr="00D74F22">
        <w:t xml:space="preserve">Tabulka </w:t>
      </w:r>
      <w:r w:rsidRPr="003D5428">
        <w:fldChar w:fldCharType="begin"/>
      </w:r>
      <w:r w:rsidRPr="00D74F22">
        <w:instrText xml:space="preserve"> SEQ Tabulka \* ARABIC </w:instrText>
      </w:r>
      <w:r w:rsidRPr="003D5428">
        <w:fldChar w:fldCharType="separate"/>
      </w:r>
      <w:r w:rsidR="001773BF">
        <w:rPr>
          <w:noProof/>
        </w:rPr>
        <w:t>23</w:t>
      </w:r>
      <w:r w:rsidRPr="003D5428">
        <w:fldChar w:fldCharType="end"/>
      </w:r>
      <w:r w:rsidRPr="00D74F22">
        <w:t xml:space="preserve"> Státní fond kinematografie v letech 202</w:t>
      </w:r>
      <w:r w:rsidR="00F962C0">
        <w:t>5</w:t>
      </w:r>
      <w:r w:rsidRPr="00D74F22">
        <w:t xml:space="preserve"> – 202</w:t>
      </w:r>
      <w:r w:rsidR="00F962C0">
        <w:t>7</w:t>
      </w:r>
      <w:r w:rsidRPr="00D74F22">
        <w:t xml:space="preserve"> </w:t>
      </w:r>
      <w:r w:rsidRPr="00E718F6">
        <w:rPr>
          <w:i/>
        </w:rPr>
        <w:t>(v Kč)</w:t>
      </w:r>
      <w:bookmarkEnd w:id="158"/>
      <w:bookmarkEnd w:id="159"/>
    </w:p>
    <w:p w:rsidR="003D5428" w:rsidRPr="003D5428" w:rsidRDefault="0097007C" w:rsidP="003D5428">
      <w:r w:rsidRPr="0097007C">
        <w:rPr>
          <w:noProof/>
          <w:lang w:val="en-US" w:eastAsia="en-US"/>
        </w:rPr>
        <w:drawing>
          <wp:inline distT="0" distB="0" distL="0" distR="0">
            <wp:extent cx="6120130" cy="1100550"/>
            <wp:effectExtent l="0" t="0" r="0" b="4445"/>
            <wp:docPr id="60" name="Obrázek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6120130" cy="1100550"/>
                    </a:xfrm>
                    <a:prstGeom prst="rect">
                      <a:avLst/>
                    </a:prstGeom>
                    <a:noFill/>
                    <a:ln>
                      <a:noFill/>
                    </a:ln>
                  </pic:spPr>
                </pic:pic>
              </a:graphicData>
            </a:graphic>
          </wp:inline>
        </w:drawing>
      </w:r>
    </w:p>
    <w:p w:rsidR="003D5428" w:rsidRPr="003D5428" w:rsidRDefault="003D5428" w:rsidP="003D5428">
      <w:pPr>
        <w:pStyle w:val="Nadpis2"/>
      </w:pPr>
      <w:bookmarkStart w:id="160" w:name="_Toc52369417"/>
      <w:bookmarkStart w:id="161" w:name="_Toc112771428"/>
      <w:bookmarkStart w:id="162" w:name="_Toc145662068"/>
      <w:bookmarkStart w:id="163" w:name="_Toc175914425"/>
      <w:r w:rsidRPr="003D5428">
        <w:t>Státní fond kultury České republiky</w:t>
      </w:r>
      <w:bookmarkEnd w:id="160"/>
      <w:r w:rsidRPr="003D5428">
        <w:t xml:space="preserve"> (SFK ČR)</w:t>
      </w:r>
      <w:bookmarkEnd w:id="161"/>
      <w:bookmarkEnd w:id="162"/>
      <w:bookmarkEnd w:id="163"/>
    </w:p>
    <w:p w:rsidR="003D5428" w:rsidRPr="003D5428" w:rsidRDefault="003D5428" w:rsidP="003D5428">
      <w:pPr>
        <w:sectPr w:rsidR="003D5428" w:rsidRPr="003D5428" w:rsidSect="00A26DEA">
          <w:type w:val="continuous"/>
          <w:pgSz w:w="11906" w:h="16838" w:code="9"/>
          <w:pgMar w:top="1134" w:right="1134" w:bottom="1418" w:left="1134" w:header="709" w:footer="709" w:gutter="0"/>
          <w:cols w:space="709"/>
          <w:docGrid w:linePitch="360"/>
        </w:sectPr>
      </w:pPr>
    </w:p>
    <w:p w:rsidR="00743A63" w:rsidRDefault="00743A63" w:rsidP="00743A63">
      <w:pPr>
        <w:pStyle w:val="SRTextnomal"/>
      </w:pPr>
      <w:r>
        <w:t>Státní fond kultury ČR byl zřízen zákonem č. 239/1992 Sb., o Státním fondu kultury České republiky. Hlavní činností fondu je podpora projektů v oblasti kultury, jedná se např. o realizaci uměleckých děl, ediční činnost, obnovu a udržování památek a sbírkových předmětů, výstavní činnost, pořádání kulturních akcí a festivalů, podporu kultury národnostních menšin, propagaci české kultury v zahraničí apod.</w:t>
      </w:r>
    </w:p>
    <w:p w:rsidR="00743A63" w:rsidRDefault="00743A63" w:rsidP="00743A63">
      <w:pPr>
        <w:pStyle w:val="SRTextnomal"/>
      </w:pPr>
      <w:r>
        <w:t xml:space="preserve">Pro rok 2025 jsou celkové příjmy Státního fondu kultury ČR navrženy ve výši 76 mil. Kč, převážná část příjmů jsou </w:t>
      </w:r>
      <w:r>
        <w:t>vlastní příjmy fondu, dotace ze státního rozpočtu činí 2,5</w:t>
      </w:r>
      <w:r w:rsidR="00505943">
        <w:t> </w:t>
      </w:r>
      <w:r>
        <w:t>mil. Kč. Navržena je stejná výše příjmů jako v roce 2024. Nejvýznamnějším příjmem fondu jsou výnosy z reklam vysílaných na ČT 2, jejichž výše je pro rok 2025 odhadována na 35 mil. Kč. Významným příjmem je také příjem z pronájmu nemovitostí, se kterými je fond příslušný hospodařit (dům U Černé Matky Boží, dům U Hybernů, Národní dům na Vinohradech), a 50% výnos z pronájmu nemovitých kulturních památek, který fondu poskytuje Ministerstvo kultury</w:t>
      </w:r>
      <w:r w:rsidR="004A75FA">
        <w:t>,</w:t>
      </w:r>
      <w:r>
        <w:t xml:space="preserve"> </w:t>
      </w:r>
      <w:r w:rsidR="004A75FA">
        <w:t>p</w:t>
      </w:r>
      <w:r>
        <w:t xml:space="preserve">ro rok 2025 se předpokládá ve výši </w:t>
      </w:r>
      <w:r>
        <w:lastRenderedPageBreak/>
        <w:t>33 mil. Kč. Shodně je výše příjmů navržena i pro roky 2026 a 2027.</w:t>
      </w:r>
    </w:p>
    <w:p w:rsidR="003D5428" w:rsidRPr="003D5428" w:rsidRDefault="00743A63" w:rsidP="002438AB">
      <w:pPr>
        <w:pStyle w:val="SRTextnomal"/>
      </w:pPr>
      <w:r>
        <w:t xml:space="preserve">Celkové výdaje Státního fondu kultury ČR jsou pro rok 2025 navrženy ve výši 75,58 mil. Kč. Na podporu kulturních projektů je vyčleněno 60 mil. Kč. Ostatní prostředky </w:t>
      </w:r>
      <w:r>
        <w:t>jsou určeny zejména na administraci projektů, provoz fondu a správu nemovitostí, se kterými je fond příslušný hospodařit. Shodně je výše výdajů navržena i pro roky 2026 a 2027.</w:t>
      </w:r>
    </w:p>
    <w:p w:rsidR="003D5428" w:rsidRPr="003D5428" w:rsidRDefault="003D5428" w:rsidP="003D5428">
      <w:pPr>
        <w:sectPr w:rsidR="003D5428" w:rsidRPr="003D5428" w:rsidSect="00A26DEA">
          <w:type w:val="continuous"/>
          <w:pgSz w:w="11906" w:h="16838" w:code="9"/>
          <w:pgMar w:top="1134" w:right="1134" w:bottom="1418" w:left="1134" w:header="709" w:footer="709" w:gutter="0"/>
          <w:cols w:num="2" w:space="397"/>
          <w:docGrid w:linePitch="360"/>
        </w:sectPr>
      </w:pPr>
    </w:p>
    <w:p w:rsidR="003D5428" w:rsidRPr="00D74F22" w:rsidRDefault="003D5428" w:rsidP="0033216C">
      <w:pPr>
        <w:pStyle w:val="SRtitulek1"/>
      </w:pPr>
      <w:bookmarkStart w:id="164" w:name="_Toc145662015"/>
      <w:bookmarkStart w:id="165" w:name="_Toc175914464"/>
      <w:r w:rsidRPr="00D74F22">
        <w:t xml:space="preserve">Tabulka </w:t>
      </w:r>
      <w:r w:rsidRPr="003D5428">
        <w:fldChar w:fldCharType="begin"/>
      </w:r>
      <w:r w:rsidRPr="00D74F22">
        <w:instrText xml:space="preserve"> SEQ Tabulka \* ARABIC </w:instrText>
      </w:r>
      <w:r w:rsidRPr="003D5428">
        <w:fldChar w:fldCharType="separate"/>
      </w:r>
      <w:r w:rsidR="001773BF">
        <w:rPr>
          <w:noProof/>
        </w:rPr>
        <w:t>24</w:t>
      </w:r>
      <w:r w:rsidRPr="003D5428">
        <w:fldChar w:fldCharType="end"/>
      </w:r>
      <w:r w:rsidRPr="00D74F22">
        <w:t xml:space="preserve"> Státní fond kultury ČR v letech 202</w:t>
      </w:r>
      <w:r w:rsidR="00F962C0">
        <w:t>5</w:t>
      </w:r>
      <w:r w:rsidRPr="00D74F22">
        <w:t xml:space="preserve"> – 202</w:t>
      </w:r>
      <w:r w:rsidR="00F962C0">
        <w:t>7</w:t>
      </w:r>
      <w:r w:rsidRPr="00D74F22">
        <w:t xml:space="preserve"> </w:t>
      </w:r>
      <w:r w:rsidRPr="00E718F6">
        <w:rPr>
          <w:i/>
        </w:rPr>
        <w:t>(v Kč)</w:t>
      </w:r>
      <w:bookmarkEnd w:id="164"/>
      <w:bookmarkEnd w:id="165"/>
    </w:p>
    <w:p w:rsidR="003D5428" w:rsidRPr="003D5428" w:rsidRDefault="0097007C" w:rsidP="003D5428">
      <w:r w:rsidRPr="0097007C">
        <w:rPr>
          <w:noProof/>
          <w:lang w:val="en-US" w:eastAsia="en-US"/>
        </w:rPr>
        <w:drawing>
          <wp:inline distT="0" distB="0" distL="0" distR="0">
            <wp:extent cx="6120130" cy="1100550"/>
            <wp:effectExtent l="0" t="0" r="0" b="4445"/>
            <wp:docPr id="61" name="Obrázek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6120130" cy="1100550"/>
                    </a:xfrm>
                    <a:prstGeom prst="rect">
                      <a:avLst/>
                    </a:prstGeom>
                    <a:noFill/>
                    <a:ln>
                      <a:noFill/>
                    </a:ln>
                  </pic:spPr>
                </pic:pic>
              </a:graphicData>
            </a:graphic>
          </wp:inline>
        </w:drawing>
      </w:r>
    </w:p>
    <w:p w:rsidR="003D5428" w:rsidRPr="003D5428" w:rsidRDefault="003D5428" w:rsidP="003D5428">
      <w:pPr>
        <w:pStyle w:val="Nadpis2"/>
      </w:pPr>
      <w:bookmarkStart w:id="166" w:name="_Toc52369418"/>
      <w:bookmarkStart w:id="167" w:name="_Toc112771429"/>
      <w:bookmarkStart w:id="168" w:name="_Toc145662069"/>
      <w:bookmarkStart w:id="169" w:name="_Toc175914426"/>
      <w:r w:rsidRPr="003D5428">
        <w:t>Státní fond podpory investic</w:t>
      </w:r>
      <w:bookmarkEnd w:id="166"/>
      <w:r w:rsidRPr="003D5428">
        <w:t xml:space="preserve"> (SFPI)</w:t>
      </w:r>
      <w:bookmarkEnd w:id="167"/>
      <w:bookmarkEnd w:id="168"/>
      <w:bookmarkEnd w:id="169"/>
    </w:p>
    <w:p w:rsidR="003D5428" w:rsidRPr="003D5428" w:rsidRDefault="003D5428" w:rsidP="003D5428">
      <w:pPr>
        <w:sectPr w:rsidR="003D5428" w:rsidRPr="003D5428" w:rsidSect="00A26DEA">
          <w:type w:val="continuous"/>
          <w:pgSz w:w="11906" w:h="16838" w:code="9"/>
          <w:pgMar w:top="1134" w:right="1134" w:bottom="1418" w:left="1134" w:header="709" w:footer="709" w:gutter="0"/>
          <w:cols w:space="709"/>
          <w:docGrid w:linePitch="360"/>
        </w:sectPr>
      </w:pPr>
    </w:p>
    <w:p w:rsidR="00320448" w:rsidRDefault="00320448" w:rsidP="00320448">
      <w:pPr>
        <w:pStyle w:val="SRTextnomal"/>
      </w:pPr>
      <w:r>
        <w:t>Pro rok 2025 jsou příjmy SFPI rozpočtovány ve výši 1 739 mil. Kč, ve výhledu 2026 a 2027 ve výši 1</w:t>
      </w:r>
      <w:r w:rsidR="00B06164">
        <w:t> </w:t>
      </w:r>
      <w:r>
        <w:t>634</w:t>
      </w:r>
      <w:r w:rsidR="00B06164">
        <w:t> </w:t>
      </w:r>
      <w:r>
        <w:t>mil.</w:t>
      </w:r>
      <w:r w:rsidR="00B06164">
        <w:t> </w:t>
      </w:r>
      <w:r>
        <w:t>Kč a 1 545 mil. Kč. Vlastní příjmy fondu jsou tvořeny především splátkami úvěrů, které fond poskytuje. Roční splátky úvěrů v roce 2025 budou činit 600 mil. Kč. Úroky z těchto úvěrů by měly dosáhnout objemu 90 mil. Kč. Transfer z kapitoly Ministerstva pro místní rozvoj je rozpočtován ve výši 1 049 mil. Kč. V roce 2025 SFPI předpokládá v rámci čerpání nároků z nespotřebovaných výdajů minulých let transfery z kapitoly MMR ve výši 2</w:t>
      </w:r>
      <w:r w:rsidR="00B06164">
        <w:t> </w:t>
      </w:r>
      <w:r>
        <w:t>211</w:t>
      </w:r>
      <w:r w:rsidR="00B06164">
        <w:t> </w:t>
      </w:r>
      <w:r>
        <w:t>mil.</w:t>
      </w:r>
      <w:r w:rsidR="00B06164">
        <w:t> </w:t>
      </w:r>
      <w:r>
        <w:t>Kč a ve stejné výši odpovídající výdaje.</w:t>
      </w:r>
    </w:p>
    <w:p w:rsidR="00320448" w:rsidRDefault="00320448" w:rsidP="00320448">
      <w:pPr>
        <w:pStyle w:val="SRTextnomal"/>
      </w:pPr>
      <w:r>
        <w:t xml:space="preserve">Rozpočet Fondu je sestaven jako vyrovnaný. Výdaje na rok 2025 ve výši 1 739 mil. Kč jsou určeny na úvěry fyzickým a právnickým osobám ve výši 522 mil. Kč, dále </w:t>
      </w:r>
      <w:r>
        <w:t>na</w:t>
      </w:r>
      <w:r w:rsidR="00897AC3">
        <w:t> </w:t>
      </w:r>
      <w:r>
        <w:t>dotace fyzickým a právnickým osobám ve výši 900 mil. Kč, na výplatu úrokových dotací k úvěrům na rekonstrukce a</w:t>
      </w:r>
      <w:r w:rsidR="0097007C">
        <w:t> </w:t>
      </w:r>
      <w:r>
        <w:t>modernizace bytových domů poskytnutých v letech 2001–2010 ve výši 30 mil. Kč, na výplatu úrokových dotací k úvěrům na rekonstrukce a modernizace bytových domů poskytnutých v roce 2011 ve výši 67 mil. Kč, na snižování jistiny úvěrů mladým lidem na výstavbu ve výši 20</w:t>
      </w:r>
      <w:r w:rsidR="00B06164">
        <w:t> </w:t>
      </w:r>
      <w:r>
        <w:t>mil.</w:t>
      </w:r>
      <w:r w:rsidR="00B06164">
        <w:t> </w:t>
      </w:r>
      <w:r>
        <w:t>Kč, na výdaje zajišťování podpor ve výši 35 mil. Kč a na správní výdaje fondu ve výši 165 mil. Kč.</w:t>
      </w:r>
    </w:p>
    <w:p w:rsidR="003D5428" w:rsidRPr="003D5428" w:rsidRDefault="00320448" w:rsidP="002438AB">
      <w:pPr>
        <w:pStyle w:val="SRTextnomal"/>
      </w:pPr>
      <w:r>
        <w:t>V roce 2026 jsou výdaje SFPI plánovány ve výši 1 634 mil. Kč (poskytnuté půjčky jsou předpokládány v objemu 505 mil. Kč), v roce 2027 jsou pak výdaje rozpočtovány ve výši 1 545 mil. Kč (poskytnuté půjčky ve výši 455 mil. Kč).</w:t>
      </w:r>
    </w:p>
    <w:p w:rsidR="003D5428" w:rsidRPr="003D5428" w:rsidRDefault="003D5428" w:rsidP="003D5428">
      <w:pPr>
        <w:rPr>
          <w:b/>
          <w:bCs/>
        </w:rPr>
        <w:sectPr w:rsidR="003D5428" w:rsidRPr="003D5428" w:rsidSect="00A26DEA">
          <w:type w:val="continuous"/>
          <w:pgSz w:w="11906" w:h="16838" w:code="9"/>
          <w:pgMar w:top="1134" w:right="1134" w:bottom="1418" w:left="1134" w:header="709" w:footer="709" w:gutter="0"/>
          <w:cols w:num="2" w:space="397"/>
          <w:docGrid w:linePitch="360"/>
        </w:sectPr>
      </w:pPr>
    </w:p>
    <w:p w:rsidR="003D5428" w:rsidRPr="00D74F22" w:rsidRDefault="003D5428" w:rsidP="0033216C">
      <w:pPr>
        <w:pStyle w:val="SRtitulek1"/>
      </w:pPr>
      <w:bookmarkStart w:id="170" w:name="_Toc145662016"/>
      <w:bookmarkStart w:id="171" w:name="_Toc175914465"/>
      <w:r w:rsidRPr="00D74F22">
        <w:t xml:space="preserve">Tabulka </w:t>
      </w:r>
      <w:r w:rsidRPr="003D5428">
        <w:fldChar w:fldCharType="begin"/>
      </w:r>
      <w:r w:rsidRPr="00D74F22">
        <w:instrText xml:space="preserve"> SEQ Tabulka \* ARABIC </w:instrText>
      </w:r>
      <w:r w:rsidRPr="003D5428">
        <w:fldChar w:fldCharType="separate"/>
      </w:r>
      <w:r w:rsidR="001773BF">
        <w:rPr>
          <w:noProof/>
        </w:rPr>
        <w:t>25</w:t>
      </w:r>
      <w:r w:rsidRPr="003D5428">
        <w:fldChar w:fldCharType="end"/>
      </w:r>
      <w:r w:rsidRPr="00D74F22">
        <w:t xml:space="preserve"> Státní fond podpory investic v letech 202</w:t>
      </w:r>
      <w:r w:rsidR="00F962C0">
        <w:t>5</w:t>
      </w:r>
      <w:r w:rsidRPr="00D74F22">
        <w:t xml:space="preserve"> – 202</w:t>
      </w:r>
      <w:r w:rsidR="00F962C0">
        <w:t>7</w:t>
      </w:r>
      <w:r w:rsidRPr="00D74F22">
        <w:t xml:space="preserve"> </w:t>
      </w:r>
      <w:r w:rsidRPr="00E718F6">
        <w:rPr>
          <w:i/>
        </w:rPr>
        <w:t>(v Kč)</w:t>
      </w:r>
      <w:bookmarkEnd w:id="170"/>
      <w:bookmarkEnd w:id="171"/>
    </w:p>
    <w:p w:rsidR="003D5428" w:rsidRPr="003D5428" w:rsidRDefault="0097007C" w:rsidP="003D5428">
      <w:r w:rsidRPr="0097007C">
        <w:rPr>
          <w:noProof/>
          <w:lang w:val="en-US" w:eastAsia="en-US"/>
        </w:rPr>
        <w:drawing>
          <wp:inline distT="0" distB="0" distL="0" distR="0">
            <wp:extent cx="6120130" cy="1252658"/>
            <wp:effectExtent l="0" t="0" r="0" b="5080"/>
            <wp:docPr id="62" name="Obrázek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6120130" cy="1252658"/>
                    </a:xfrm>
                    <a:prstGeom prst="rect">
                      <a:avLst/>
                    </a:prstGeom>
                    <a:noFill/>
                    <a:ln>
                      <a:noFill/>
                    </a:ln>
                  </pic:spPr>
                </pic:pic>
              </a:graphicData>
            </a:graphic>
          </wp:inline>
        </w:drawing>
      </w:r>
    </w:p>
    <w:p w:rsidR="003D5428" w:rsidRPr="003D5428" w:rsidRDefault="003D5428" w:rsidP="003D5428">
      <w:pPr>
        <w:pStyle w:val="Nadpis2"/>
      </w:pPr>
      <w:bookmarkStart w:id="172" w:name="_Toc52369419"/>
      <w:bookmarkStart w:id="173" w:name="_Toc112771430"/>
      <w:bookmarkStart w:id="174" w:name="_Toc145662070"/>
      <w:bookmarkStart w:id="175" w:name="_Toc175914427"/>
      <w:r w:rsidRPr="003D5428">
        <w:t>Státní fond životního prostředí České republiky</w:t>
      </w:r>
      <w:bookmarkEnd w:id="172"/>
      <w:r w:rsidRPr="003D5428">
        <w:t xml:space="preserve"> (SFŽP ČR)</w:t>
      </w:r>
      <w:bookmarkEnd w:id="173"/>
      <w:bookmarkEnd w:id="174"/>
      <w:bookmarkEnd w:id="175"/>
    </w:p>
    <w:p w:rsidR="003D5428" w:rsidRPr="003D5428" w:rsidRDefault="003D5428" w:rsidP="003D5428">
      <w:pPr>
        <w:sectPr w:rsidR="003D5428" w:rsidRPr="003D5428" w:rsidSect="00A26DEA">
          <w:type w:val="continuous"/>
          <w:pgSz w:w="11906" w:h="16838" w:code="9"/>
          <w:pgMar w:top="1134" w:right="1134" w:bottom="1418" w:left="1134" w:header="709" w:footer="709" w:gutter="0"/>
          <w:cols w:space="709"/>
          <w:docGrid w:linePitch="360"/>
        </w:sectPr>
      </w:pPr>
    </w:p>
    <w:p w:rsidR="00A51C5C" w:rsidRDefault="00A51C5C" w:rsidP="00A51C5C">
      <w:pPr>
        <w:pStyle w:val="SRTextnomal"/>
      </w:pPr>
      <w:r>
        <w:t xml:space="preserve">Příjmy SFŽP ČR jsou pro rok 2025 rozpočtovány ve výši </w:t>
      </w:r>
      <w:r w:rsidRPr="0097007C">
        <w:t>45,</w:t>
      </w:r>
      <w:r w:rsidR="00CB45CA" w:rsidRPr="0097007C">
        <w:t>4</w:t>
      </w:r>
      <w:r w:rsidRPr="0097007C">
        <w:t xml:space="preserve"> mld. Kč, přičemž největší část příjmů tvoří transfer z Modernizačního fondu (36,</w:t>
      </w:r>
      <w:r w:rsidR="0097007C" w:rsidRPr="0097007C">
        <w:t>3</w:t>
      </w:r>
      <w:r w:rsidRPr="0097007C">
        <w:t xml:space="preserve"> mld. Kč). Modernizační</w:t>
      </w:r>
      <w:r>
        <w:t xml:space="preserve"> fond je investiční nástroj EK a EIB, ze kterého je členským státům EU poskytována podpora na základě schvalování předkládaných investičních záměrů. Prostředky jsou na účet SFŽP ČR zasílány přímo z EIB. Dotace ze státního rozpočtu z kapitoly MŽP činí 6,2 mld. Kč. Z této dotace činí 3 mld. Kč prostředky, které jsou určeny na financování projektů vodohospodářské infrastruktury dle usnesení vlády č. 156/2024 a prostředky v rámci Národního plánu </w:t>
      </w:r>
      <w:r>
        <w:t>obnovy a Operačního programu životní prostředí. Daňové příjmy se rozpočtují ve výši 2,4 mld. Kč. Největší část tvoří poplatky za ukládání odpadů (1,4 mld. Kč), poplatky za odebrané množství podzemní vody (330 mil. Kč), poplatky za znečišťování ovzduší (230 mil. Kč) a odvody za odnětí půdy ze zemědělského půdního fondu (220 mil. Kč).</w:t>
      </w:r>
    </w:p>
    <w:p w:rsidR="00A51C5C" w:rsidRDefault="00A51C5C" w:rsidP="00A51C5C">
      <w:pPr>
        <w:pStyle w:val="SRTextnomal"/>
      </w:pPr>
      <w:r>
        <w:t xml:space="preserve">Výdaje SFŽP ČR na rok 2025 jsou stanoveny ve výši </w:t>
      </w:r>
      <w:r w:rsidRPr="0097007C">
        <w:t>45,</w:t>
      </w:r>
      <w:r w:rsidR="00CB45CA" w:rsidRPr="0097007C">
        <w:t>4 </w:t>
      </w:r>
      <w:r w:rsidRPr="0097007C">
        <w:t>mld. Kč. Největší část výdajů</w:t>
      </w:r>
      <w:r>
        <w:t xml:space="preserve"> budou představovat výdaje na projekty financované z Modernizačního fondu (jedná se o projekty v oblasti teplárenství, modernizace </w:t>
      </w:r>
      <w:r>
        <w:lastRenderedPageBreak/>
        <w:t>průmyslu a budování nových obnovitelných zdrojů energie atd.). Provozní výdaje SFŽP ČR se předpokládají ve výši 0,9 mld. Kč.</w:t>
      </w:r>
    </w:p>
    <w:p w:rsidR="003D5428" w:rsidRPr="003D5428" w:rsidRDefault="00A51C5C" w:rsidP="002438AB">
      <w:pPr>
        <w:pStyle w:val="SRTextnomal"/>
      </w:pPr>
      <w:r>
        <w:t>V roce 2026 a 2027 jsou příjmy a výdaje SFŽP ČR navrženy ve výši 42,6 mld. Kč.</w:t>
      </w:r>
    </w:p>
    <w:p w:rsidR="003D5428" w:rsidRPr="003D5428" w:rsidRDefault="003D5428" w:rsidP="003D5428">
      <w:pPr>
        <w:sectPr w:rsidR="003D5428" w:rsidRPr="003D5428" w:rsidSect="00A26DEA">
          <w:type w:val="continuous"/>
          <w:pgSz w:w="11906" w:h="16838" w:code="9"/>
          <w:pgMar w:top="1134" w:right="1134" w:bottom="1418" w:left="1134" w:header="709" w:footer="709" w:gutter="0"/>
          <w:cols w:num="2" w:space="397"/>
          <w:docGrid w:linePitch="360"/>
        </w:sectPr>
      </w:pPr>
    </w:p>
    <w:p w:rsidR="003D5428" w:rsidRPr="00D74F22" w:rsidRDefault="003D5428" w:rsidP="0033216C">
      <w:pPr>
        <w:pStyle w:val="SRtitulek1"/>
      </w:pPr>
      <w:bookmarkStart w:id="176" w:name="_Toc145662017"/>
      <w:bookmarkStart w:id="177" w:name="_Toc175914466"/>
      <w:r w:rsidRPr="00D74F22">
        <w:t xml:space="preserve">Tabulka </w:t>
      </w:r>
      <w:r w:rsidRPr="003D5428">
        <w:fldChar w:fldCharType="begin"/>
      </w:r>
      <w:r w:rsidRPr="00D74F22">
        <w:instrText xml:space="preserve"> SEQ Tabulka \* ARABIC </w:instrText>
      </w:r>
      <w:r w:rsidRPr="003D5428">
        <w:fldChar w:fldCharType="separate"/>
      </w:r>
      <w:r w:rsidR="001773BF">
        <w:rPr>
          <w:noProof/>
        </w:rPr>
        <w:t>26</w:t>
      </w:r>
      <w:r w:rsidRPr="003D5428">
        <w:fldChar w:fldCharType="end"/>
      </w:r>
      <w:r w:rsidRPr="00D74F22">
        <w:t xml:space="preserve"> Státní fond životního prostředí ČR v letech 202</w:t>
      </w:r>
      <w:r w:rsidR="00F962C0">
        <w:t>5</w:t>
      </w:r>
      <w:r w:rsidRPr="00D74F22">
        <w:t xml:space="preserve"> – 202</w:t>
      </w:r>
      <w:r w:rsidR="00F962C0">
        <w:t>7</w:t>
      </w:r>
      <w:r w:rsidRPr="00D74F22">
        <w:t xml:space="preserve"> </w:t>
      </w:r>
      <w:r w:rsidRPr="00E718F6">
        <w:rPr>
          <w:i/>
        </w:rPr>
        <w:t>(v Kč)</w:t>
      </w:r>
      <w:bookmarkEnd w:id="176"/>
      <w:bookmarkEnd w:id="177"/>
    </w:p>
    <w:p w:rsidR="003D5428" w:rsidRPr="003D5428" w:rsidRDefault="0097007C" w:rsidP="003D5428">
      <w:r w:rsidRPr="0097007C">
        <w:rPr>
          <w:noProof/>
          <w:lang w:val="en-US" w:eastAsia="en-US"/>
        </w:rPr>
        <w:drawing>
          <wp:inline distT="0" distB="0" distL="0" distR="0">
            <wp:extent cx="6120130" cy="1708984"/>
            <wp:effectExtent l="0" t="0" r="0" b="5715"/>
            <wp:docPr id="63" name="Obrázek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6120130" cy="1708984"/>
                    </a:xfrm>
                    <a:prstGeom prst="rect">
                      <a:avLst/>
                    </a:prstGeom>
                    <a:noFill/>
                    <a:ln>
                      <a:noFill/>
                    </a:ln>
                  </pic:spPr>
                </pic:pic>
              </a:graphicData>
            </a:graphic>
          </wp:inline>
        </w:drawing>
      </w:r>
    </w:p>
    <w:p w:rsidR="003D5428" w:rsidRPr="003D5428" w:rsidRDefault="003D5428" w:rsidP="003D5428">
      <w:pPr>
        <w:pStyle w:val="Nadpis2"/>
      </w:pPr>
      <w:bookmarkStart w:id="178" w:name="_Toc52369420"/>
      <w:bookmarkStart w:id="179" w:name="_Toc112771431"/>
      <w:bookmarkStart w:id="180" w:name="_Toc145662071"/>
      <w:bookmarkStart w:id="181" w:name="_Toc175914428"/>
      <w:r w:rsidRPr="003D5428">
        <w:t>Úhrnná bilance státních fondů</w:t>
      </w:r>
      <w:bookmarkEnd w:id="178"/>
      <w:bookmarkEnd w:id="179"/>
      <w:bookmarkEnd w:id="180"/>
      <w:bookmarkEnd w:id="181"/>
    </w:p>
    <w:p w:rsidR="003D5428" w:rsidRPr="003D5428" w:rsidRDefault="003D5428" w:rsidP="003D5428">
      <w:pPr>
        <w:sectPr w:rsidR="003D5428" w:rsidRPr="003D5428" w:rsidSect="00A26DEA">
          <w:type w:val="continuous"/>
          <w:pgSz w:w="11906" w:h="16838" w:code="9"/>
          <w:pgMar w:top="1134" w:right="1134" w:bottom="1418" w:left="1134" w:header="709" w:footer="709" w:gutter="0"/>
          <w:cols w:space="709"/>
          <w:docGrid w:linePitch="360"/>
        </w:sectPr>
      </w:pPr>
    </w:p>
    <w:p w:rsidR="003D5428" w:rsidRPr="003D5428" w:rsidRDefault="003D5428" w:rsidP="002438AB">
      <w:pPr>
        <w:pStyle w:val="SRTextnomal"/>
      </w:pPr>
      <w:r w:rsidRPr="003D5428">
        <w:t>Úhrnná celková bilance základních ukazatelů státních fondů je v rámci střednědobého výhledu na roky 202</w:t>
      </w:r>
      <w:r w:rsidR="00C80440">
        <w:t>6</w:t>
      </w:r>
      <w:r w:rsidRPr="003D5428">
        <w:t xml:space="preserve"> a 202</w:t>
      </w:r>
      <w:r w:rsidR="00C80440">
        <w:t>7</w:t>
      </w:r>
      <w:r w:rsidRPr="003D5428">
        <w:t xml:space="preserve"> uvedena spolu s návrhem rozpočtu na rok 202</w:t>
      </w:r>
      <w:r w:rsidR="00C80440">
        <w:t>5</w:t>
      </w:r>
      <w:r w:rsidRPr="003D5428">
        <w:t xml:space="preserve"> </w:t>
      </w:r>
      <w:r w:rsidRPr="003D5428">
        <w:t>v následující tabulce. Výdaje na léta 202</w:t>
      </w:r>
      <w:r w:rsidR="00C80440">
        <w:t>6</w:t>
      </w:r>
      <w:r w:rsidRPr="003D5428">
        <w:t xml:space="preserve"> a 202</w:t>
      </w:r>
      <w:r w:rsidR="00C80440">
        <w:t>7</w:t>
      </w:r>
      <w:r w:rsidRPr="003D5428">
        <w:t xml:space="preserve"> neobsahují prostředky EU a FM (promítají se až při přípravě ročního rozpočtu).</w:t>
      </w:r>
    </w:p>
    <w:p w:rsidR="003D5428" w:rsidRPr="003D5428" w:rsidRDefault="003D5428" w:rsidP="003D5428">
      <w:pPr>
        <w:sectPr w:rsidR="003D5428" w:rsidRPr="003D5428" w:rsidSect="00A26DEA">
          <w:type w:val="continuous"/>
          <w:pgSz w:w="11906" w:h="16838" w:code="9"/>
          <w:pgMar w:top="1134" w:right="1134" w:bottom="1418" w:left="1134" w:header="709" w:footer="709" w:gutter="0"/>
          <w:cols w:num="2" w:space="397"/>
          <w:docGrid w:linePitch="360"/>
        </w:sectPr>
      </w:pPr>
    </w:p>
    <w:p w:rsidR="003D5428" w:rsidRPr="00D74F22" w:rsidRDefault="003D5428" w:rsidP="0033216C">
      <w:pPr>
        <w:pStyle w:val="SRtitulek1"/>
      </w:pPr>
      <w:bookmarkStart w:id="182" w:name="_Toc145662018"/>
      <w:bookmarkStart w:id="183" w:name="_Toc175914467"/>
      <w:r w:rsidRPr="00D74F22">
        <w:t xml:space="preserve">Tabulka </w:t>
      </w:r>
      <w:r w:rsidRPr="003D5428">
        <w:fldChar w:fldCharType="begin"/>
      </w:r>
      <w:r w:rsidRPr="00D74F22">
        <w:instrText xml:space="preserve"> SEQ Tabulka \* ARABIC </w:instrText>
      </w:r>
      <w:r w:rsidRPr="003D5428">
        <w:fldChar w:fldCharType="separate"/>
      </w:r>
      <w:r w:rsidR="001773BF">
        <w:rPr>
          <w:noProof/>
        </w:rPr>
        <w:t>27</w:t>
      </w:r>
      <w:r w:rsidRPr="003D5428">
        <w:fldChar w:fldCharType="end"/>
      </w:r>
      <w:r w:rsidRPr="00D74F22">
        <w:t xml:space="preserve"> Úhrnná bilance státních fondů v letech 202</w:t>
      </w:r>
      <w:r w:rsidR="00F962C0">
        <w:t>5</w:t>
      </w:r>
      <w:r w:rsidRPr="00D74F22">
        <w:t> – 202</w:t>
      </w:r>
      <w:r w:rsidR="00F962C0">
        <w:t>7</w:t>
      </w:r>
      <w:r w:rsidRPr="00D74F22">
        <w:t xml:space="preserve"> </w:t>
      </w:r>
      <w:r w:rsidRPr="00E718F6">
        <w:rPr>
          <w:i/>
        </w:rPr>
        <w:t>(v Kč)</w:t>
      </w:r>
      <w:bookmarkEnd w:id="182"/>
      <w:bookmarkEnd w:id="183"/>
    </w:p>
    <w:p w:rsidR="003D5428" w:rsidRPr="003D5428" w:rsidRDefault="00F73992" w:rsidP="003D5428">
      <w:r w:rsidRPr="00F73992">
        <w:rPr>
          <w:noProof/>
          <w:lang w:val="en-US" w:eastAsia="en-US"/>
        </w:rPr>
        <w:drawing>
          <wp:inline distT="0" distB="0" distL="0" distR="0">
            <wp:extent cx="6120130" cy="2499442"/>
            <wp:effectExtent l="0" t="0" r="0" b="0"/>
            <wp:docPr id="70" name="Obrázek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6120130" cy="2499442"/>
                    </a:xfrm>
                    <a:prstGeom prst="rect">
                      <a:avLst/>
                    </a:prstGeom>
                    <a:noFill/>
                    <a:ln>
                      <a:noFill/>
                    </a:ln>
                  </pic:spPr>
                </pic:pic>
              </a:graphicData>
            </a:graphic>
          </wp:inline>
        </w:drawing>
      </w:r>
    </w:p>
    <w:p w:rsidR="003D5428" w:rsidRPr="003D5428" w:rsidRDefault="003D5428" w:rsidP="003D5428">
      <w:r w:rsidRPr="003D5428">
        <w:br w:type="page"/>
      </w:r>
    </w:p>
    <w:p w:rsidR="003D5428" w:rsidRPr="003D5428" w:rsidRDefault="003D5428" w:rsidP="00EC46A9">
      <w:pPr>
        <w:pStyle w:val="Nadpis1"/>
        <w:tabs>
          <w:tab w:val="clear" w:pos="6663"/>
        </w:tabs>
        <w:ind w:left="567"/>
      </w:pPr>
      <w:bookmarkStart w:id="184" w:name="_Toc52369422"/>
      <w:bookmarkStart w:id="185" w:name="_Toc112771433"/>
      <w:bookmarkStart w:id="186" w:name="_Toc145662073"/>
      <w:bookmarkStart w:id="187" w:name="_Toc175914429"/>
      <w:r w:rsidRPr="003D5428">
        <w:lastRenderedPageBreak/>
        <w:t>Výdaje na programy nebo projekty spolufinancované z rozpočtu Evropské unie</w:t>
      </w:r>
      <w:bookmarkEnd w:id="184"/>
      <w:bookmarkEnd w:id="185"/>
      <w:bookmarkEnd w:id="186"/>
      <w:bookmarkEnd w:id="187"/>
    </w:p>
    <w:p w:rsidR="003D5428" w:rsidRPr="003D5428" w:rsidRDefault="003D5428" w:rsidP="003D5428">
      <w:pPr>
        <w:pStyle w:val="Nadpis2"/>
      </w:pPr>
      <w:bookmarkStart w:id="188" w:name="_Toc112771434"/>
      <w:bookmarkStart w:id="189" w:name="_Toc145662074"/>
      <w:bookmarkStart w:id="190" w:name="_Toc175914430"/>
      <w:r w:rsidRPr="003D5428">
        <w:t>Výdaje na operační programy programového období 2007-2013</w:t>
      </w:r>
      <w:bookmarkEnd w:id="188"/>
      <w:bookmarkEnd w:id="189"/>
      <w:bookmarkEnd w:id="190"/>
    </w:p>
    <w:p w:rsidR="003D5428" w:rsidRPr="003D5428" w:rsidRDefault="003D5428" w:rsidP="003D5428">
      <w:pPr>
        <w:sectPr w:rsidR="003D5428" w:rsidRPr="003D5428" w:rsidSect="00A26DEA">
          <w:type w:val="continuous"/>
          <w:pgSz w:w="11906" w:h="16838" w:code="9"/>
          <w:pgMar w:top="1134" w:right="1134" w:bottom="1418" w:left="1134" w:header="709" w:footer="709" w:gutter="0"/>
          <w:cols w:space="709"/>
          <w:docGrid w:linePitch="360"/>
        </w:sectPr>
      </w:pPr>
    </w:p>
    <w:p w:rsidR="003D5428" w:rsidRPr="003D5428" w:rsidRDefault="00803148" w:rsidP="002438AB">
      <w:pPr>
        <w:pStyle w:val="SRTextnomal"/>
      </w:pPr>
      <w:r w:rsidRPr="00803148">
        <w:t xml:space="preserve">Financování projektů z programového období 2007-2013 bylo ukončeno a z tohoto důvodu není zapotřebí v letech 2026 a 2027 na projekty z tohoto období rozpočtovat prostředky na předfinancování podílu EU a na národní spolufinancování ze státního rozpočtu. V souvislosti s tímto obdobím probíhá již jen proces jeho uzavírání, který zahrnuje řešení sporných případů, nesrovnalostí a vypořádání finančních vztahů mezi Evropskou unií a Českou republikou. Evropská komise zatím zcela finančně neuzavřela operační programy, které plně nevyčerpaly přidělenou </w:t>
      </w:r>
      <w:r w:rsidRPr="00803148">
        <w:t>alokaci a u nichž zároveň probíhají šetření dosud neuzavřených případů nesrovnalostí. Jedná se o Integrovaný OP, OP Vzdělávání pro konkurenceschopnost a ROP Severozápad. V rámci tohoto probíhajícího procesu může v</w:t>
      </w:r>
      <w:r w:rsidR="00FB7B23">
        <w:t> </w:t>
      </w:r>
      <w:r w:rsidRPr="00803148">
        <w:t>období střednědobého výhledu případně proběhnout převod prostředků na příjmové účty státního rozpočtu nebo úhrada nezpůsobilých výdajů ze státního rozpočtu nebo Národního fondu zpět Evropské komisi. Za toto programové období Česká republika prostřednictvím operačních programů využila 25,79 mld. EUR, tj. 96,3 % jejich alokace.</w:t>
      </w:r>
      <w:r>
        <w:t xml:space="preserve"> </w:t>
      </w:r>
    </w:p>
    <w:p w:rsidR="003D5428" w:rsidRPr="003D5428" w:rsidRDefault="003D5428" w:rsidP="003D5428">
      <w:pPr>
        <w:sectPr w:rsidR="003D5428" w:rsidRPr="003D5428" w:rsidSect="00A26DEA">
          <w:type w:val="continuous"/>
          <w:pgSz w:w="11906" w:h="16838" w:code="9"/>
          <w:pgMar w:top="1134" w:right="1134" w:bottom="1418" w:left="1134" w:header="709" w:footer="709" w:gutter="0"/>
          <w:cols w:num="2" w:space="397"/>
          <w:docGrid w:linePitch="360"/>
        </w:sectPr>
      </w:pPr>
    </w:p>
    <w:p w:rsidR="003D5428" w:rsidRPr="003D5428" w:rsidRDefault="003D5428" w:rsidP="003D5428">
      <w:pPr>
        <w:pStyle w:val="Nadpis2"/>
      </w:pPr>
      <w:bookmarkStart w:id="191" w:name="_Toc112771435"/>
      <w:bookmarkStart w:id="192" w:name="_Toc145662075"/>
      <w:bookmarkStart w:id="193" w:name="_Toc175914431"/>
      <w:r w:rsidRPr="003D5428">
        <w:t>Výdaje na operační programy programového období 2014-2020</w:t>
      </w:r>
      <w:bookmarkEnd w:id="191"/>
      <w:bookmarkEnd w:id="192"/>
      <w:bookmarkEnd w:id="193"/>
    </w:p>
    <w:p w:rsidR="003D5428" w:rsidRPr="003D5428" w:rsidRDefault="003D5428" w:rsidP="003D5428">
      <w:pPr>
        <w:sectPr w:rsidR="003D5428" w:rsidRPr="003D5428" w:rsidSect="00A26DEA">
          <w:type w:val="continuous"/>
          <w:pgSz w:w="11906" w:h="16838" w:code="9"/>
          <w:pgMar w:top="1134" w:right="1134" w:bottom="1418" w:left="1134" w:header="709" w:footer="709" w:gutter="0"/>
          <w:cols w:space="709"/>
          <w:docGrid w:linePitch="360"/>
        </w:sectPr>
      </w:pPr>
    </w:p>
    <w:p w:rsidR="00803148" w:rsidRDefault="00803148" w:rsidP="00803148">
      <w:pPr>
        <w:pStyle w:val="SRTextnomal"/>
      </w:pPr>
      <w:r>
        <w:t>V rámci ESI fondů v programovém období 2014</w:t>
      </w:r>
      <w:r w:rsidR="0090211C">
        <w:t>-</w:t>
      </w:r>
      <w:r>
        <w:t>2020 měla Česká republika nárok vyčerpat alokaci ve výši 22,71 mld. EUR (vč. navýšení o prostředky REACT-EU), přičemž způsobilé výdaje byly ty, které příjemci projektů proplatili dodavatelům do 31. 12. 2023. Jakékoliv další výdaje příjemců po tomto datu nejsou z hlediska programů období 2014-2020 způsobilé a nelze je u Evropské komise nárokovat. Nutným předpokladem pro vyčerpání alokace byla realizace projektů a s tím související předfinancování podílu EU ze státního rozpočtu. Podle údajů MMR  bylo k 30.</w:t>
      </w:r>
      <w:r w:rsidR="00FB7B23">
        <w:t> </w:t>
      </w:r>
      <w:r>
        <w:t>6.</w:t>
      </w:r>
      <w:r w:rsidR="00FB7B23">
        <w:t> </w:t>
      </w:r>
      <w:r>
        <w:t xml:space="preserve">2024 příjemcům projektů na základě žádostí o platbu dosud celkem proplaceno 103,5 % alokace. Alokace operačních programů jsou v celkovém součtu přezávazkované, čehož může být využito při závěrečném vypořádávání případných finančních oprav jednotlivých operačních programů s Evropskou komisí. Podle instrukcí </w:t>
      </w:r>
      <w:r w:rsidR="0067359C">
        <w:t>M</w:t>
      </w:r>
      <w:r>
        <w:t>inisterstva financí výdaje připadající na přezávazkování nemají být ze státního rozpočtu hrazeny ze zdroje rozpočtovaného pro úhrady podílu EU.</w:t>
      </w:r>
    </w:p>
    <w:p w:rsidR="00803148" w:rsidRDefault="00803148" w:rsidP="00803148">
      <w:pPr>
        <w:pStyle w:val="SRTextnomal"/>
      </w:pPr>
      <w:r>
        <w:t>Čerpání alokace operačních programů z tohoto programového období je trvale stabilní a u žádného z operačních programů není aktuálně ze strany Evropské komise pozastaveno financování. Operační programy přecházejí do fáze konečného vyúčtování vůči Evropské komisi, kdy jsou (resp. budou) zasílány závěrečné žádosti o platbu, uzávěrky účtů a auditní zprávy. Na základě novely příslušné legislativy EU (tzv. STEP), která členským státům umožnila prodloužit termín předložení poslední žádosti o průběžnou platbu a zároveň termín pro předložení posledních účtů o rok, tj. do 31. 7. 2025, resp. 15. 2. 2026, je tento proces konečného vykazování způsobilých výdajů prodloužen.</w:t>
      </w:r>
    </w:p>
    <w:p w:rsidR="00803148" w:rsidRDefault="00803148" w:rsidP="00803148">
      <w:pPr>
        <w:pStyle w:val="SRTextnomal"/>
      </w:pPr>
      <w:r>
        <w:t>Posun termínů využijí OP Podnikání a inovace pro konkurenceschopnost, Integrovaný regionální OP a OP Praha-</w:t>
      </w:r>
      <w:r>
        <w:t xml:space="preserve">pól růstu; OP Životní prostředí využije posun pro předložení závěrečných účtů. Za první tři uvedené programy byly v červnu 2024 odeslány průběžné žádosti o platbu, konečné žádosti o platbu budou Evropské komisi odeslány až v říjnu 2024 (OP Praha-pól růstu), resp. v červenci 2025 (Integrovaný regionální OP a OP Podnikání a inovace pro konkurenceschopnost). Za ostatní programy byly konečné žádosti o platbu odeslány Evropské komisi v průběhu července 2024. Řídicí orgány, které posun termínu pro odeslání konečné žádosti o platbu využijí, tak mohou </w:t>
      </w:r>
      <w:r w:rsidR="0067359C">
        <w:t>M</w:t>
      </w:r>
      <w:r>
        <w:t xml:space="preserve">inisterstvu financí nadále vykazovat schválené způsobilé výdaje (tj. výdaje uhrazené ze strany příjemců nejpozději do 31. 12. 2023), čímž se v následujících měsících bude čerpání alokace daných operačních programů ještě zvyšovat.      </w:t>
      </w:r>
    </w:p>
    <w:p w:rsidR="00803148" w:rsidRDefault="0067359C" w:rsidP="00803148">
      <w:pPr>
        <w:pStyle w:val="SRTextnomal"/>
      </w:pPr>
      <w:r>
        <w:t>C</w:t>
      </w:r>
      <w:r w:rsidR="00803148">
        <w:t>elkov</w:t>
      </w:r>
      <w:r>
        <w:t>á</w:t>
      </w:r>
      <w:r w:rsidR="00803148">
        <w:t xml:space="preserve"> alokace OP pro programové období je po zohlednění všech konečných žádostí za programy, které nevyužívají prodloužení dle novely STEP, vyčerpána z</w:t>
      </w:r>
      <w:r w:rsidR="00FB7B23">
        <w:t> </w:t>
      </w:r>
      <w:r w:rsidR="00803148">
        <w:t>102,1</w:t>
      </w:r>
      <w:r w:rsidR="00FB7B23">
        <w:t> </w:t>
      </w:r>
      <w:r w:rsidR="00803148">
        <w:t>% (počítaná jako podíl žádostí o platbu odeslaných Evropské komisi po zohlednění uzavírání účtů na celkové alokaci OP, kdy v rámci konečných žádostí je možné vyžádat až 115 % alokace programu, avšak EK více než 100 % alokace neproplatí; k narovnání na max. 100 % by mělo dojít v rámci závěrečných účtů). U Integrovaného regionálního OP a OP Podnikání a inovace pro konkurenceschopnost se čerpání pohybuje na úrovni cca 98 %, přičemž zbylé části nevyčerpané alokace budou Evropské komisi vykázány v konečných žádostech o platbu, které budou za tyto programy odeslány v červenci 2025. V</w:t>
      </w:r>
      <w:r w:rsidR="00FB7B23">
        <w:t> </w:t>
      </w:r>
      <w:r w:rsidR="00803148">
        <w:t>ostatních programech již bylo vykázáno vyčerpání celé alokace. Předpokládá se, že všechny OP plně vyčerpají svoji alokaci.</w:t>
      </w:r>
    </w:p>
    <w:p w:rsidR="00803148" w:rsidRDefault="00803148" w:rsidP="00803148">
      <w:pPr>
        <w:pStyle w:val="SRTextnomal"/>
      </w:pPr>
      <w:r>
        <w:t>Jako opatření pro zdárné dokončení projektů a vyčerpání alokace operačních programů může dojít k fázování projektů, tj. rozdělení do dvou celků, přičemž druhá část pro</w:t>
      </w:r>
      <w:r>
        <w:lastRenderedPageBreak/>
        <w:t>jektu by byla dokončena a dofinancována v rámci navazujícího operačního programu v programovém období 2021-2027. Zároveň nelze vyloučit vznik tzv. nedokončených a nefungujících projektů, tj. projektů, které oproti očekávání nebudou k datu předložení poslední souhrnné žádosti Platebnímu a certifikačnímu orgánu dokončeny a</w:t>
      </w:r>
      <w:r w:rsidR="00FB7B23">
        <w:t> </w:t>
      </w:r>
      <w:r>
        <w:t xml:space="preserve">funkční. Takové projekty bude možné dokončit v náhradním termínu, avšak výdaje na jejich dokončení budou muset být hrazeny z národních zdrojů (nejčastěji z vlastních zdrojů příjemce projektu). Pokud by tyto projekty nebyly dokončeny ani ve stanovených náhradních termínech (pro nedokončené projekty do 15. 11. 2024, resp. 14. 11. 2025 pro programy využívající STEP, a pro nefungující projekty do 15. 2. 2027), Evropské komisi by musely </w:t>
      </w:r>
      <w:r>
        <w:t>být vráceny veškeré prostředky EU vynaložené na jejich realizaci. Nedokončení těchto projektů v náhradním termínu tak může představovat riziko pro státní rozpočet.</w:t>
      </w:r>
    </w:p>
    <w:p w:rsidR="00CE55B7" w:rsidRPr="003D5428" w:rsidRDefault="00803148" w:rsidP="002438AB">
      <w:pPr>
        <w:pStyle w:val="SRTextnomal"/>
      </w:pPr>
      <w:r>
        <w:t>Předpokládá se, že bude fázováno 10 současných projektů (8 v OP Životní prostředí a 2 v OP Výzkum, vývoj a</w:t>
      </w:r>
      <w:r w:rsidR="00FB7B23">
        <w:t> </w:t>
      </w:r>
      <w:r>
        <w:t>vzdělávání), 81 projektů bude evidováno jako nedokončené (20 v OP Životní prostředí, 53 v Integrovaném regionálním operačním programu a 8 v OP Doprava) a 13 projektů jako nefungující (8 v Integrovaném regionálním operačním programu a 5 v OP Doprava). Uzavírání operačních programů mohou zkomplikovat i probíhající trestní řízení (109 případů), správní řízení (5 případů) a</w:t>
      </w:r>
      <w:r w:rsidR="00FB7B23">
        <w:t> </w:t>
      </w:r>
      <w:r>
        <w:t xml:space="preserve">auditní nálezy (1 případ) a jiné okolnosti (17 případů). </w:t>
      </w:r>
    </w:p>
    <w:p w:rsidR="003D5428" w:rsidRPr="003D5428" w:rsidRDefault="003D5428" w:rsidP="003D5428">
      <w:pPr>
        <w:sectPr w:rsidR="003D5428" w:rsidRPr="003D5428" w:rsidSect="00A26DEA">
          <w:type w:val="continuous"/>
          <w:pgSz w:w="11906" w:h="16838" w:code="9"/>
          <w:pgMar w:top="1134" w:right="1134" w:bottom="1418" w:left="1134" w:header="709" w:footer="709" w:gutter="0"/>
          <w:cols w:num="2" w:space="397"/>
          <w:docGrid w:linePitch="360"/>
        </w:sectPr>
      </w:pPr>
    </w:p>
    <w:p w:rsidR="003D5428" w:rsidRPr="003D5428" w:rsidRDefault="003D5428" w:rsidP="003D5428">
      <w:pPr>
        <w:pStyle w:val="Nadpis2"/>
      </w:pPr>
      <w:bookmarkStart w:id="194" w:name="_Toc112771436"/>
      <w:bookmarkStart w:id="195" w:name="_Toc145662076"/>
      <w:bookmarkStart w:id="196" w:name="_Toc175914432"/>
      <w:r w:rsidRPr="003D5428">
        <w:t>Výdaje na programy programového období 2021-2027</w:t>
      </w:r>
      <w:bookmarkEnd w:id="194"/>
      <w:bookmarkEnd w:id="195"/>
      <w:bookmarkEnd w:id="196"/>
    </w:p>
    <w:p w:rsidR="003D5428" w:rsidRPr="003D5428" w:rsidRDefault="003D5428" w:rsidP="003D5428">
      <w:pPr>
        <w:sectPr w:rsidR="003D5428" w:rsidRPr="003D5428" w:rsidSect="00A26DEA">
          <w:type w:val="continuous"/>
          <w:pgSz w:w="11906" w:h="16838" w:code="9"/>
          <w:pgMar w:top="1134" w:right="1134" w:bottom="1418" w:left="1134" w:header="709" w:footer="709" w:gutter="0"/>
          <w:cols w:space="709"/>
          <w:docGrid w:linePitch="360"/>
        </w:sectPr>
      </w:pPr>
    </w:p>
    <w:p w:rsidR="002F1469" w:rsidRDefault="002F1469" w:rsidP="002F1469">
      <w:pPr>
        <w:pStyle w:val="SRTextnomal"/>
      </w:pPr>
      <w:r>
        <w:t>Pro ČR bylo pro programové období 2021-2027 alokováno celkem 21,08 mld. EUR (včetně alokace na FST a program Rybářství) a vláda 1. března 2021 schválila rozdělení těchto prostředků mezi jednotlivé programy, které byly Evropskou komisí v průběhu roku 2022 schváleny.</w:t>
      </w:r>
    </w:p>
    <w:p w:rsidR="002F1469" w:rsidRDefault="002F1469" w:rsidP="002F1469">
      <w:pPr>
        <w:pStyle w:val="SRTextnomal"/>
      </w:pPr>
      <w:r>
        <w:t>V období střednědobého výhledu se předpokládá průběžná realizace a financování operačních programů. Podle zkušeností z předchozích programových období lze očekávat postupné navyšování požadavků resortů na výdaje státního rozpočtu na podíl EU a na podíl národního spolufinancování ze státního rozpočtu. Souběžně by též mělo dojít k navyšování příjmů státního rozpočtu za podíl EU. Nelze vyloučit, že ve sledovaném období dojde k navýšení současného rozdílu mezi výdaji a příjmy státního rozpočtu za podíl EU. Předpokládáme, že v průběhu času dojde k jeho stabilizaci.</w:t>
      </w:r>
    </w:p>
    <w:p w:rsidR="002F1469" w:rsidRDefault="002F1469" w:rsidP="002F1469">
      <w:pPr>
        <w:pStyle w:val="SRTextnomal"/>
      </w:pPr>
      <w:r>
        <w:t>Podle údajů MMR  byly k 30. 6. 2024 přijaty žádosti o podporu ve výši 85,7 % alokace programů, přičemž vydané právní akty představují 38,7 % alokace a proplaceno příjemcům bylo prozatím 10,4 % alokace.</w:t>
      </w:r>
    </w:p>
    <w:p w:rsidR="002F1469" w:rsidRDefault="002F1469" w:rsidP="002F1469">
      <w:pPr>
        <w:pStyle w:val="SRTextnomal"/>
      </w:pPr>
      <w:r>
        <w:t>Celková alokace OP pro programové období je k datu 30. 6. 2024 vyčerpána z 5,4 % (počítan</w:t>
      </w:r>
      <w:r w:rsidR="00A87A30">
        <w:t>o</w:t>
      </w:r>
      <w:r>
        <w:t xml:space="preserve"> jako podíl žádostí o platbu odeslaných Evropské komisi po zohlednění uzavírání účtů na celkové alokaci OP). Nejvyšší čerpání alokace vykazuje OP Doprava (11,9 %) následovaný OP Životní prostředí (7,9 %). OP Technologie a aplikace pro konkurenceschopnost prozatím vykazuje nejnižší čerpání alokace (0,8 %).</w:t>
      </w:r>
    </w:p>
    <w:p w:rsidR="002F1469" w:rsidRDefault="002F1469" w:rsidP="002F1469">
      <w:pPr>
        <w:pStyle w:val="SRTextnomal"/>
      </w:pPr>
      <w:r>
        <w:t>Čerpání prostředků se bude opět řídit pravidlem N+3, podle kterého je nutné vyčerpat závazek roku N do konce třetího roku od jeho přidělení. Poprvé se tak pravidlo aplikuje v roce 2025. Se stavem k 30. 6. 2024 je nejblíže splnění limitu pravidla N+3 OP Spravedlivá transformace s čerpáním limitu ve výši 98,2 % (zejména z důvodu obdržení mimořádné zálohové platby z Evropské komise na základě STEP), následuje OP Doprava (84,6 %) a OP Životní prostředí (69,9 %). OP Technologie a aplikace pro konkurenceschopnost vykazuje prozatím nejnižší čerpání limitu (25,4 %). Do splnění limitu za všechny programy zbývá vykázat 1,56 mld. EUR.</w:t>
      </w:r>
    </w:p>
    <w:p w:rsidR="003D5428" w:rsidRDefault="002F1469" w:rsidP="002438AB">
      <w:pPr>
        <w:pStyle w:val="SRTextnomal"/>
      </w:pPr>
      <w:r>
        <w:t>Evropskou komisí byl dále schválen Národní plán obnovy (NPO), jehož realizace pokrývá část tohoto programového období (platby do konce roku 2026). NPO též vyžaduje předfinancování ze státního rozpočtu. Platby od Evropské komise (a tedy následně do státního rozpočtu) budou u tohoto programu probíhat na základě splněných milníků stanovenou částkou. Evropské komisi tedy nebudou vykazovány (a tedy refundovány) konkrétní vynaložené výdaje ze státního rozpočtu. ČR má (po přepočtu alokace a její</w:t>
      </w:r>
      <w:r w:rsidR="00A87A30">
        <w:t>m</w:t>
      </w:r>
      <w:r>
        <w:t xml:space="preserve"> doplnění o prostředky z ETS a BAR v rámci tzv. plánu REPowerEU) možnost v rámci NPO čerpat granty v částce 8,4 mld. EUR (ceny r. 2022).</w:t>
      </w:r>
    </w:p>
    <w:p w:rsidR="002F1469" w:rsidRPr="003D5428" w:rsidRDefault="002F1469" w:rsidP="002438AB">
      <w:pPr>
        <w:pStyle w:val="SRTextnomal"/>
      </w:pPr>
    </w:p>
    <w:p w:rsidR="003D5428" w:rsidRPr="003D5428" w:rsidRDefault="003D5428" w:rsidP="003D5428">
      <w:pPr>
        <w:tabs>
          <w:tab w:val="num" w:pos="851"/>
        </w:tabs>
        <w:rPr>
          <w:b/>
          <w:bCs/>
          <w:iCs/>
        </w:rPr>
        <w:sectPr w:rsidR="003D5428" w:rsidRPr="003D5428" w:rsidSect="00A26DEA">
          <w:type w:val="continuous"/>
          <w:pgSz w:w="11906" w:h="16838" w:code="9"/>
          <w:pgMar w:top="1134" w:right="1134" w:bottom="1418" w:left="1134" w:header="709" w:footer="709" w:gutter="0"/>
          <w:cols w:num="2" w:space="282"/>
          <w:docGrid w:linePitch="360"/>
        </w:sectPr>
      </w:pPr>
    </w:p>
    <w:p w:rsidR="003D5428" w:rsidRPr="003D5428" w:rsidRDefault="003D5428" w:rsidP="003D5428">
      <w:pPr>
        <w:pStyle w:val="Nadpis2"/>
      </w:pPr>
      <w:bookmarkStart w:id="197" w:name="_Toc112771438"/>
      <w:bookmarkStart w:id="198" w:name="_Toc145662078"/>
      <w:bookmarkStart w:id="199" w:name="_Toc175914433"/>
      <w:r w:rsidRPr="003D5428">
        <w:t>Výdaje na Společnou zemědělskou politiku 2014-2022</w:t>
      </w:r>
      <w:bookmarkEnd w:id="197"/>
      <w:bookmarkEnd w:id="198"/>
      <w:bookmarkEnd w:id="199"/>
    </w:p>
    <w:p w:rsidR="003D5428" w:rsidRPr="003D5428" w:rsidRDefault="003D5428" w:rsidP="003D5428">
      <w:pPr>
        <w:sectPr w:rsidR="003D5428" w:rsidRPr="003D5428" w:rsidSect="00A26DEA">
          <w:type w:val="continuous"/>
          <w:pgSz w:w="11906" w:h="16838" w:code="9"/>
          <w:pgMar w:top="1134" w:right="1134" w:bottom="1418" w:left="1134" w:header="709" w:footer="709" w:gutter="0"/>
          <w:cols w:space="709"/>
          <w:docGrid w:linePitch="360"/>
        </w:sectPr>
      </w:pPr>
    </w:p>
    <w:p w:rsidR="00CE55B7" w:rsidRDefault="002F1469" w:rsidP="002438AB">
      <w:pPr>
        <w:pStyle w:val="SRTextnomal"/>
      </w:pPr>
      <w:r w:rsidRPr="002F1469">
        <w:t>Do 31. prosince 2025 budou v rámci přechodného období způsobilé výdaje Programu rozvoje venkova 2014-2020 proplacené platební agenturou konečným příjemcům. V</w:t>
      </w:r>
      <w:r>
        <w:t> </w:t>
      </w:r>
      <w:r w:rsidRPr="002F1469">
        <w:t xml:space="preserve">roce 2026 a 2027 bude probíhat uzavírání programu </w:t>
      </w:r>
      <w:r w:rsidRPr="002F1469">
        <w:t>a</w:t>
      </w:r>
      <w:r w:rsidR="00611447">
        <w:t> </w:t>
      </w:r>
      <w:r w:rsidRPr="002F1469">
        <w:t>vypořádání ve vztahu mezi Evropskou komisí a Českou republikou.</w:t>
      </w:r>
    </w:p>
    <w:p w:rsidR="006152E6" w:rsidRDefault="006152E6">
      <w:pPr>
        <w:spacing w:after="200" w:line="276" w:lineRule="auto"/>
        <w:jc w:val="left"/>
      </w:pPr>
      <w:r>
        <w:br w:type="page"/>
      </w:r>
    </w:p>
    <w:p w:rsidR="00CE55B7" w:rsidRPr="003D5428" w:rsidRDefault="00CE55B7" w:rsidP="003D5428">
      <w:pPr>
        <w:sectPr w:rsidR="00CE55B7" w:rsidRPr="003D5428" w:rsidSect="00A26DEA">
          <w:type w:val="continuous"/>
          <w:pgSz w:w="11906" w:h="16838" w:code="9"/>
          <w:pgMar w:top="1134" w:right="1134" w:bottom="1418" w:left="1134" w:header="709" w:footer="709" w:gutter="0"/>
          <w:cols w:num="2" w:space="397"/>
          <w:docGrid w:linePitch="360"/>
        </w:sectPr>
      </w:pPr>
    </w:p>
    <w:p w:rsidR="003D5428" w:rsidRPr="003D5428" w:rsidRDefault="003D5428" w:rsidP="003D5428">
      <w:pPr>
        <w:pStyle w:val="Nadpis2"/>
      </w:pPr>
      <w:bookmarkStart w:id="200" w:name="_Toc112771439"/>
      <w:bookmarkStart w:id="201" w:name="_Toc145662079"/>
      <w:bookmarkStart w:id="202" w:name="_Toc175914434"/>
      <w:r w:rsidRPr="003D5428">
        <w:lastRenderedPageBreak/>
        <w:t>Výdaje na Společnou zemědělskou politiku v období 2023-2027</w:t>
      </w:r>
      <w:bookmarkEnd w:id="200"/>
      <w:bookmarkEnd w:id="201"/>
      <w:bookmarkEnd w:id="202"/>
    </w:p>
    <w:p w:rsidR="003D5428" w:rsidRPr="003D5428" w:rsidRDefault="003D5428" w:rsidP="003D5428">
      <w:pPr>
        <w:sectPr w:rsidR="003D5428" w:rsidRPr="003D5428" w:rsidSect="00A26DEA">
          <w:type w:val="continuous"/>
          <w:pgSz w:w="11906" w:h="16838" w:code="9"/>
          <w:pgMar w:top="1134" w:right="1134" w:bottom="1418" w:left="1134" w:header="709" w:footer="709" w:gutter="0"/>
          <w:cols w:space="709"/>
          <w:docGrid w:linePitch="360"/>
        </w:sectPr>
      </w:pPr>
    </w:p>
    <w:p w:rsidR="002F1469" w:rsidRPr="003D5428" w:rsidRDefault="002F1469" w:rsidP="002F1469">
      <w:pPr>
        <w:pStyle w:val="SRTextnomal"/>
      </w:pPr>
      <w:r w:rsidRPr="002F1469">
        <w:t>Programové období bylo zahájeno 1. ledna 2023. Veškeré výdaje, s výjimkou některých opatření Společných organizací trhu, jsou nově implementovány v rámci Strategického plánu SZP. V rámci Strategického plánu jsou tedy propláceny prostředky Evropského zemědělského záruč</w:t>
      </w:r>
      <w:r w:rsidRPr="002F1469">
        <w:t>ního fondu i Evropského fondu rozvoje venkova. U prostředků Evropského fondu rozvoje venkova bylo stanoveno národní spolufinancování ve výši 65 % (usnesení vlády č. 925 z 25. 10. 2021).</w:t>
      </w:r>
    </w:p>
    <w:p w:rsidR="003D5428" w:rsidRPr="003D5428" w:rsidRDefault="003D5428" w:rsidP="002438AB">
      <w:pPr>
        <w:pStyle w:val="SRTextnomal"/>
        <w:rPr>
          <w:b/>
        </w:rPr>
        <w:sectPr w:rsidR="003D5428" w:rsidRPr="003D5428" w:rsidSect="00A26DEA">
          <w:type w:val="continuous"/>
          <w:pgSz w:w="11906" w:h="16838" w:code="9"/>
          <w:pgMar w:top="1134" w:right="1134" w:bottom="1418" w:left="1134" w:header="709" w:footer="709" w:gutter="0"/>
          <w:cols w:num="2" w:space="282"/>
          <w:docGrid w:linePitch="360"/>
        </w:sectPr>
      </w:pPr>
      <w:r w:rsidRPr="003D5428">
        <w:t>.</w:t>
      </w:r>
    </w:p>
    <w:p w:rsidR="003D5428" w:rsidRPr="00D74F22" w:rsidRDefault="003D5428" w:rsidP="0033216C">
      <w:pPr>
        <w:pStyle w:val="SRtitulek1"/>
      </w:pPr>
      <w:bookmarkStart w:id="203" w:name="_Toc145662019"/>
      <w:bookmarkStart w:id="204" w:name="_Toc175914468"/>
      <w:r w:rsidRPr="00D74F22">
        <w:t xml:space="preserve">Tabulka </w:t>
      </w:r>
      <w:r w:rsidRPr="003D5428">
        <w:fldChar w:fldCharType="begin"/>
      </w:r>
      <w:r w:rsidRPr="00D74F22">
        <w:instrText xml:space="preserve"> SEQ Tabulka \* ARABIC </w:instrText>
      </w:r>
      <w:r w:rsidRPr="003D5428">
        <w:fldChar w:fldCharType="separate"/>
      </w:r>
      <w:r w:rsidR="001773BF">
        <w:rPr>
          <w:noProof/>
        </w:rPr>
        <w:t>28</w:t>
      </w:r>
      <w:r w:rsidRPr="003D5428">
        <w:fldChar w:fldCharType="end"/>
      </w:r>
      <w:r w:rsidRPr="00D74F22">
        <w:t xml:space="preserve"> Odhad skutečných výdajů SR na předfinancování politik EU v letech 202</w:t>
      </w:r>
      <w:r w:rsidR="00F962C0">
        <w:t>6</w:t>
      </w:r>
      <w:r w:rsidRPr="00D74F22">
        <w:t xml:space="preserve"> – 202</w:t>
      </w:r>
      <w:r w:rsidR="00F962C0">
        <w:t>7</w:t>
      </w:r>
      <w:r w:rsidRPr="00D74F22">
        <w:t xml:space="preserve"> </w:t>
      </w:r>
      <w:r w:rsidRPr="00E718F6">
        <w:rPr>
          <w:i/>
        </w:rPr>
        <w:t>(v mil. Kč)</w:t>
      </w:r>
      <w:bookmarkEnd w:id="203"/>
      <w:bookmarkEnd w:id="204"/>
    </w:p>
    <w:p w:rsidR="003D5428" w:rsidRPr="003D5428" w:rsidRDefault="002F1469" w:rsidP="003D5428">
      <w:pPr>
        <w:rPr>
          <w:i/>
        </w:rPr>
      </w:pPr>
      <w:r w:rsidRPr="002F1469">
        <w:rPr>
          <w:noProof/>
          <w:lang w:val="en-US" w:eastAsia="en-US"/>
        </w:rPr>
        <w:drawing>
          <wp:inline distT="0" distB="0" distL="0" distR="0">
            <wp:extent cx="5486400" cy="2838450"/>
            <wp:effectExtent l="0" t="0" r="0" b="0"/>
            <wp:docPr id="36" name="Obrázek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5486400" cy="2838450"/>
                    </a:xfrm>
                    <a:prstGeom prst="rect">
                      <a:avLst/>
                    </a:prstGeom>
                    <a:noFill/>
                    <a:ln>
                      <a:noFill/>
                    </a:ln>
                  </pic:spPr>
                </pic:pic>
              </a:graphicData>
            </a:graphic>
          </wp:inline>
        </w:drawing>
      </w:r>
    </w:p>
    <w:p w:rsidR="003D5428" w:rsidRPr="003D5428" w:rsidRDefault="003D5428" w:rsidP="003D5428">
      <w:pPr>
        <w:rPr>
          <w:i/>
        </w:rPr>
      </w:pPr>
      <w:r w:rsidRPr="003D5428">
        <w:rPr>
          <w:i/>
        </w:rPr>
        <w:t>Poznámka: *) I. pilíř zahrnuje přímé platby, **) II. pilíř zahrnuje rozvoj venkova a OP Rybářství.</w:t>
      </w:r>
    </w:p>
    <w:p w:rsidR="003D5428" w:rsidRPr="003D5428" w:rsidRDefault="003D5428" w:rsidP="003D5428">
      <w:r w:rsidRPr="003D5428">
        <w:br w:type="page"/>
      </w:r>
    </w:p>
    <w:p w:rsidR="002A28E9" w:rsidRPr="002A28E9" w:rsidRDefault="002A28E9" w:rsidP="00EC46A9">
      <w:pPr>
        <w:pStyle w:val="Nadpis1"/>
        <w:tabs>
          <w:tab w:val="clear" w:pos="6663"/>
        </w:tabs>
        <w:ind w:left="567"/>
      </w:pPr>
      <w:bookmarkStart w:id="205" w:name="_Toc52369423"/>
      <w:bookmarkStart w:id="206" w:name="_Toc112771440"/>
      <w:bookmarkStart w:id="207" w:name="_Toc145662080"/>
      <w:bookmarkStart w:id="208" w:name="_Toc175914435"/>
      <w:r w:rsidRPr="002A28E9">
        <w:lastRenderedPageBreak/>
        <w:t>Výdaje na finanční mechanismy EHP/Norska</w:t>
      </w:r>
      <w:bookmarkEnd w:id="205"/>
      <w:bookmarkEnd w:id="206"/>
      <w:bookmarkEnd w:id="207"/>
      <w:bookmarkEnd w:id="208"/>
    </w:p>
    <w:p w:rsidR="002A28E9" w:rsidRPr="002A28E9" w:rsidRDefault="002A28E9" w:rsidP="002A28E9">
      <w:pPr>
        <w:sectPr w:rsidR="002A28E9" w:rsidRPr="002A28E9" w:rsidSect="00A26DEA">
          <w:type w:val="continuous"/>
          <w:pgSz w:w="11906" w:h="16838" w:code="9"/>
          <w:pgMar w:top="1134" w:right="1134" w:bottom="1418" w:left="1134" w:header="709" w:footer="709" w:gutter="0"/>
          <w:cols w:space="709"/>
          <w:docGrid w:linePitch="360"/>
        </w:sectPr>
      </w:pPr>
    </w:p>
    <w:p w:rsidR="00550BEA" w:rsidRPr="00550BEA" w:rsidRDefault="00550BEA" w:rsidP="002438AB">
      <w:pPr>
        <w:pStyle w:val="SRTextnomal"/>
      </w:pPr>
      <w:r w:rsidRPr="00550BEA">
        <w:t>U programů finančních mechanismů bude v roce 2025 dobíhat koordinace třetího grantového období 2014-2021 (FM EHP/Norsko III) na národní úrovni (Ministerstvo financí) a bilaterální aktivity v rámci Bilaterálního fondu. Realizace programů a jednotlivých projektů bude ukončena v průběhu roku 2024. S ohledem na stav vyjednávání čtvrtého grantového období 2021</w:t>
      </w:r>
      <w:r w:rsidR="002F1469">
        <w:t> </w:t>
      </w:r>
      <w:r w:rsidRPr="00550BEA">
        <w:t>–</w:t>
      </w:r>
      <w:r w:rsidR="002F1469">
        <w:t> </w:t>
      </w:r>
      <w:r w:rsidRPr="00550BEA">
        <w:t>2028 (FM</w:t>
      </w:r>
      <w:r w:rsidR="00AC1F06">
        <w:t> </w:t>
      </w:r>
      <w:r w:rsidRPr="00550BEA">
        <w:t>EHP/Norsko IV) lze v roce 2025 očekávat čerpání prostředků na přípravu na technickou podporu na  úrovni Národního kontaktního místa (Ministerstvo financí). V roce 2026 by mohla být postupně zahájena realizace jednotlivých programů.</w:t>
      </w:r>
    </w:p>
    <w:p w:rsidR="00550BEA" w:rsidRPr="00550BEA" w:rsidRDefault="00550BEA" w:rsidP="002438AB">
      <w:pPr>
        <w:pStyle w:val="SRTextnomal"/>
      </w:pPr>
      <w:r w:rsidRPr="00550BEA">
        <w:t>V rámci Programu švýcarsko-české spolupráce 2 budou v r</w:t>
      </w:r>
      <w:r w:rsidR="0014657C">
        <w:t>oce</w:t>
      </w:r>
      <w:r w:rsidRPr="00550BEA">
        <w:t xml:space="preserve"> 2025 v realizaci všechny schválené programy, jejich implementace bude probíhat až do r. 2029, v letech 2025-2026 se tak očekává zvýšené čerpání příspěvku.</w:t>
      </w:r>
    </w:p>
    <w:p w:rsidR="002A28E9" w:rsidRPr="002A28E9" w:rsidRDefault="00550BEA" w:rsidP="002438AB">
      <w:pPr>
        <w:pStyle w:val="SRTextnomal"/>
      </w:pPr>
      <w:r w:rsidRPr="00550BEA">
        <w:t>Jak v rámci FM EHP/Norsko, tak v rámci Programu švýcarsko-české spolupráce 2 je ČR zavázána zajistit 15% národního spolufinancování všech výdajů na úrovni jednotlivých programů. Tento fakt bude mít dopad na výši prostředků určených na spolufinancování ze státního rozpočtu.</w:t>
      </w:r>
    </w:p>
    <w:p w:rsidR="002A28E9" w:rsidRPr="002A28E9" w:rsidRDefault="002A28E9" w:rsidP="002A28E9">
      <w:pPr>
        <w:sectPr w:rsidR="002A28E9" w:rsidRPr="002A28E9" w:rsidSect="00A26DEA">
          <w:type w:val="continuous"/>
          <w:pgSz w:w="11906" w:h="16838" w:code="9"/>
          <w:pgMar w:top="1134" w:right="1134" w:bottom="1418" w:left="1134" w:header="709" w:footer="709" w:gutter="0"/>
          <w:cols w:num="2" w:space="397"/>
          <w:docGrid w:linePitch="360"/>
        </w:sectPr>
      </w:pPr>
    </w:p>
    <w:p w:rsidR="002A28E9" w:rsidRPr="002A28E9" w:rsidRDefault="002A28E9" w:rsidP="002A28E9">
      <w:pPr>
        <w:rPr>
          <w:b/>
          <w:bCs/>
        </w:rPr>
      </w:pPr>
      <w:r w:rsidRPr="002A28E9">
        <w:br w:type="page"/>
      </w:r>
    </w:p>
    <w:p w:rsidR="002A28E9" w:rsidRPr="002A28E9" w:rsidRDefault="002A28E9" w:rsidP="00EC46A9">
      <w:pPr>
        <w:pStyle w:val="Nadpis1"/>
        <w:tabs>
          <w:tab w:val="clear" w:pos="6663"/>
        </w:tabs>
        <w:ind w:left="567"/>
      </w:pPr>
      <w:bookmarkStart w:id="209" w:name="_Toc52369424"/>
      <w:bookmarkStart w:id="210" w:name="_Toc112771441"/>
      <w:bookmarkStart w:id="211" w:name="_Toc145662081"/>
      <w:bookmarkStart w:id="212" w:name="_Toc175914436"/>
      <w:r w:rsidRPr="002A28E9">
        <w:lastRenderedPageBreak/>
        <w:t>Výdaje na programy, u nichž výši účasti státního rozpočtu na jejich financování schválila vláda</w:t>
      </w:r>
      <w:bookmarkEnd w:id="209"/>
      <w:bookmarkEnd w:id="210"/>
      <w:bookmarkEnd w:id="211"/>
      <w:bookmarkEnd w:id="212"/>
    </w:p>
    <w:p w:rsidR="002A28E9" w:rsidRPr="002A28E9" w:rsidRDefault="002A28E9" w:rsidP="002A28E9">
      <w:pPr>
        <w:sectPr w:rsidR="002A28E9" w:rsidRPr="002A28E9" w:rsidSect="00A26DEA">
          <w:type w:val="continuous"/>
          <w:pgSz w:w="11906" w:h="16838" w:code="9"/>
          <w:pgMar w:top="1134" w:right="1134" w:bottom="1418" w:left="1134" w:header="709" w:footer="709" w:gutter="0"/>
          <w:cols w:space="709"/>
          <w:docGrid w:linePitch="360"/>
        </w:sectPr>
      </w:pPr>
    </w:p>
    <w:p w:rsidR="005F554A" w:rsidRDefault="005F554A" w:rsidP="005F554A">
      <w:pPr>
        <w:pStyle w:val="SRTextnomal"/>
      </w:pPr>
      <w:r>
        <w:t xml:space="preserve">V modulech Evidenční dotační systém (EDS) a Správa majetku ve vlastnictví státu (SMVS) Rozpočtového informačního systému programového financování (RISPF) je vedeno celkem 14 probíhajících programů zahrnutých do návrhu rozpočtu a SDV, u nichž účast státního rozpočtu v letech jejich realizace přesahuje </w:t>
      </w:r>
      <w:r w:rsidR="00EF0900">
        <w:t xml:space="preserve">v úhrnu </w:t>
      </w:r>
      <w:r>
        <w:t xml:space="preserve">částku 5 mld. Kč. Vzhledem k významu těchto programů jsou jejich dokumentace a výše účasti státního rozpočtu na jejich financování, v souladu s § 13 zákona č. 218/2000 Sb. (rozpočtová pravidla), schvalovány na úrovni vlády ČR. Na programy evidované v modulu Rozpočtový informační systém zjednodušené evidence dotací (RIS ZED) se tato povinnost nevztahuje. </w:t>
      </w:r>
    </w:p>
    <w:p w:rsidR="005F554A" w:rsidRDefault="005F554A" w:rsidP="005F554A">
      <w:pPr>
        <w:pStyle w:val="SRTextnomal"/>
      </w:pPr>
      <w:r>
        <w:t xml:space="preserve">Nejvíce programů schválených vládou má ve své gesci kapitola Ministerstvo obrany. Ve sledovaném období bude realizovat 7 takovýchto programů. </w:t>
      </w:r>
    </w:p>
    <w:p w:rsidR="005F554A" w:rsidRDefault="005F554A" w:rsidP="005F554A">
      <w:pPr>
        <w:pStyle w:val="SRTextnomal"/>
      </w:pPr>
      <w:r>
        <w:t>Největší objem finančních prostředků státního rozpočtu aktuálně vyžaduje realizace Ministerstvem obrany řízeného programu 107 08 Strategický program pozemních sil.</w:t>
      </w:r>
    </w:p>
    <w:p w:rsidR="005F554A" w:rsidRDefault="005F554A" w:rsidP="005F554A">
      <w:pPr>
        <w:pStyle w:val="SRTextnomal"/>
      </w:pPr>
      <w:r>
        <w:t>Novelou zákona o rozpočtových pravidlech (zákon č. 484/2020 Sb.) došlo od 1. ledna 2021 ke změně v řízení dotačních investičních programů spolufinancovaných z rozpočtu EU, evropské programy programového období 2021-2027 zůstávají v RISPF, ale byly převedeny z modulu EDS do modulu RIS ZED, tj. nejsou již vedeny v režimu programů, které mohou být v rámci postupů programového financování schvalovány vládou. Stejná pravidla platí i pro programy spolufinancované z dalších zahraničních zdrojů státního rozpočtu.</w:t>
      </w:r>
    </w:p>
    <w:p w:rsidR="005F554A" w:rsidRPr="002A28E9" w:rsidRDefault="005F554A" w:rsidP="005F554A">
      <w:pPr>
        <w:pStyle w:val="SRTextnomal"/>
      </w:pPr>
      <w:r>
        <w:t>Přehled programů EDS/SMVS schvalovaných vládou a realizovaných se zapojením prostředků státního rozpočtu v roce 2025 a předpokládaný vývoj jejich financování v rámci střednědobého výhledu v letech 2026 a 2027 je uveden v následující tabulce.</w:t>
      </w:r>
    </w:p>
    <w:p w:rsidR="002A28E9" w:rsidRPr="002A28E9" w:rsidRDefault="002A28E9" w:rsidP="002438AB">
      <w:pPr>
        <w:pStyle w:val="SRTextnomal"/>
      </w:pPr>
    </w:p>
    <w:p w:rsidR="002A28E9" w:rsidRPr="002A28E9" w:rsidRDefault="002A28E9" w:rsidP="002A28E9">
      <w:pPr>
        <w:rPr>
          <w:b/>
          <w:bCs/>
        </w:rPr>
        <w:sectPr w:rsidR="002A28E9" w:rsidRPr="002A28E9" w:rsidSect="00A26DEA">
          <w:type w:val="continuous"/>
          <w:pgSz w:w="11906" w:h="16838" w:code="9"/>
          <w:pgMar w:top="1134" w:right="1134" w:bottom="1418" w:left="1134" w:header="709" w:footer="709" w:gutter="0"/>
          <w:cols w:num="2" w:space="397"/>
          <w:docGrid w:linePitch="360"/>
        </w:sectPr>
      </w:pPr>
    </w:p>
    <w:p w:rsidR="002A28E9" w:rsidRPr="00360781" w:rsidRDefault="002A28E9" w:rsidP="0033216C">
      <w:pPr>
        <w:pStyle w:val="SRtitulek1"/>
      </w:pPr>
      <w:bookmarkStart w:id="213" w:name="_Toc145662020"/>
      <w:bookmarkStart w:id="214" w:name="_Toc175914469"/>
      <w:r w:rsidRPr="00360781">
        <w:t xml:space="preserve">Tabulka </w:t>
      </w:r>
      <w:r w:rsidRPr="002A28E9">
        <w:fldChar w:fldCharType="begin"/>
      </w:r>
      <w:r w:rsidRPr="00360781">
        <w:instrText xml:space="preserve"> SEQ Tabulka \* ARABIC </w:instrText>
      </w:r>
      <w:r w:rsidRPr="002A28E9">
        <w:fldChar w:fldCharType="separate"/>
      </w:r>
      <w:r w:rsidR="001773BF">
        <w:rPr>
          <w:noProof/>
        </w:rPr>
        <w:t>29</w:t>
      </w:r>
      <w:r w:rsidRPr="002A28E9">
        <w:fldChar w:fldCharType="end"/>
      </w:r>
      <w:r w:rsidRPr="00360781">
        <w:t xml:space="preserve"> Výdaje na programy v letech 202</w:t>
      </w:r>
      <w:r w:rsidR="000566A7">
        <w:t>5</w:t>
      </w:r>
      <w:r w:rsidRPr="00360781">
        <w:t xml:space="preserve"> – 202</w:t>
      </w:r>
      <w:r w:rsidR="000566A7">
        <w:t>7</w:t>
      </w:r>
      <w:r w:rsidRPr="00360781">
        <w:t xml:space="preserve"> </w:t>
      </w:r>
      <w:r w:rsidRPr="00E718F6">
        <w:rPr>
          <w:i/>
        </w:rPr>
        <w:t>(v mil. Kč)</w:t>
      </w:r>
      <w:bookmarkEnd w:id="213"/>
      <w:bookmarkEnd w:id="214"/>
    </w:p>
    <w:p w:rsidR="002A28E9" w:rsidRPr="002A28E9" w:rsidRDefault="008204C4" w:rsidP="002A28E9">
      <w:r w:rsidRPr="008204C4">
        <w:rPr>
          <w:noProof/>
          <w:lang w:val="en-US" w:eastAsia="en-US"/>
        </w:rPr>
        <w:drawing>
          <wp:inline distT="0" distB="0" distL="0" distR="0">
            <wp:extent cx="6120130" cy="2495192"/>
            <wp:effectExtent l="0" t="0" r="0" b="635"/>
            <wp:docPr id="32" name="Obrázek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6120130" cy="2495192"/>
                    </a:xfrm>
                    <a:prstGeom prst="rect">
                      <a:avLst/>
                    </a:prstGeom>
                    <a:noFill/>
                    <a:ln>
                      <a:noFill/>
                    </a:ln>
                  </pic:spPr>
                </pic:pic>
              </a:graphicData>
            </a:graphic>
          </wp:inline>
        </w:drawing>
      </w:r>
    </w:p>
    <w:p w:rsidR="002A28E9" w:rsidRPr="002A28E9" w:rsidRDefault="002A28E9" w:rsidP="002A28E9">
      <w:pPr>
        <w:sectPr w:rsidR="002A28E9" w:rsidRPr="002A28E9" w:rsidSect="00A26DEA">
          <w:type w:val="continuous"/>
          <w:pgSz w:w="11906" w:h="16838" w:code="9"/>
          <w:pgMar w:top="1134" w:right="1134" w:bottom="1418" w:left="1134" w:header="709" w:footer="709" w:gutter="0"/>
          <w:cols w:space="709"/>
          <w:docGrid w:linePitch="360"/>
        </w:sectPr>
      </w:pPr>
    </w:p>
    <w:p w:rsidR="002A28E9" w:rsidRPr="002A28E9" w:rsidRDefault="002A28E9" w:rsidP="002A28E9">
      <w:r w:rsidRPr="002A28E9">
        <w:t xml:space="preserve"> </w:t>
      </w:r>
    </w:p>
    <w:p w:rsidR="002A28E9" w:rsidRPr="002A28E9" w:rsidRDefault="002A28E9" w:rsidP="002A28E9">
      <w:pPr>
        <w:sectPr w:rsidR="002A28E9" w:rsidRPr="002A28E9" w:rsidSect="00A26DEA">
          <w:type w:val="continuous"/>
          <w:pgSz w:w="11906" w:h="16838" w:code="9"/>
          <w:pgMar w:top="1134" w:right="1134" w:bottom="1418" w:left="1134" w:header="709" w:footer="709" w:gutter="0"/>
          <w:cols w:num="2" w:space="397"/>
          <w:docGrid w:linePitch="360"/>
        </w:sectPr>
      </w:pPr>
    </w:p>
    <w:p w:rsidR="002A28E9" w:rsidRPr="002A28E9" w:rsidRDefault="002A28E9" w:rsidP="002A28E9">
      <w:r w:rsidRPr="002A28E9">
        <w:br w:type="page"/>
      </w:r>
    </w:p>
    <w:p w:rsidR="002A28E9" w:rsidRPr="002A28E9" w:rsidRDefault="002A28E9" w:rsidP="00EC46A9">
      <w:pPr>
        <w:pStyle w:val="Nadpis1"/>
        <w:tabs>
          <w:tab w:val="clear" w:pos="6663"/>
          <w:tab w:val="num" w:pos="567"/>
        </w:tabs>
        <w:ind w:left="567"/>
      </w:pPr>
      <w:bookmarkStart w:id="215" w:name="_Toc52369425"/>
      <w:bookmarkStart w:id="216" w:name="_Toc112771442"/>
      <w:bookmarkStart w:id="217" w:name="_Toc145662082"/>
      <w:bookmarkStart w:id="218" w:name="_Toc175914437"/>
      <w:r w:rsidRPr="002A28E9">
        <w:lastRenderedPageBreak/>
        <w:t>Přehled závazků fyzických a právnických osob, za které se zaručily jménem státu jeho organizační složky</w:t>
      </w:r>
      <w:bookmarkEnd w:id="215"/>
      <w:bookmarkEnd w:id="216"/>
      <w:bookmarkEnd w:id="217"/>
      <w:bookmarkEnd w:id="218"/>
    </w:p>
    <w:p w:rsidR="002A28E9" w:rsidRPr="002A28E9" w:rsidRDefault="002A28E9" w:rsidP="002A28E9">
      <w:pPr>
        <w:sectPr w:rsidR="002A28E9" w:rsidRPr="002A28E9" w:rsidSect="00A26DEA">
          <w:type w:val="continuous"/>
          <w:pgSz w:w="11906" w:h="16838" w:code="9"/>
          <w:pgMar w:top="1134" w:right="1134" w:bottom="1418" w:left="1134" w:header="709" w:footer="709" w:gutter="0"/>
          <w:cols w:space="709"/>
          <w:docGrid w:linePitch="360"/>
        </w:sectPr>
      </w:pPr>
    </w:p>
    <w:p w:rsidR="00AD4D66" w:rsidRDefault="00D37274" w:rsidP="00AD4D66">
      <w:pPr>
        <w:pStyle w:val="SRTextnomal"/>
      </w:pPr>
      <w:r>
        <w:t xml:space="preserve">V návrhu střednědobého výhledu </w:t>
      </w:r>
      <w:r w:rsidR="00AD4D66">
        <w:t>na realizaci státních záruk nejsou rozpočtovány finanční prostředky pro Národní rozvojovou banku, a.s. (dříve Českomoravskou záruční a</w:t>
      </w:r>
      <w:r w:rsidR="00B4128A">
        <w:t> </w:t>
      </w:r>
      <w:r w:rsidR="00AD4D66">
        <w:t>rozvojovou banku</w:t>
      </w:r>
      <w:r w:rsidR="00B4128A">
        <w:t>, a.s.</w:t>
      </w:r>
      <w:r w:rsidR="00AD4D66">
        <w:t xml:space="preserve">). Z kapitoly Všeobecná pokladní správa byly </w:t>
      </w:r>
      <w:r>
        <w:t xml:space="preserve">v minulosti </w:t>
      </w:r>
      <w:r w:rsidR="00AD4D66">
        <w:t>prováděny úhrady dluhové služby při platební neschopnosti dlužníka (splátky jistin a úroků).</w:t>
      </w:r>
    </w:p>
    <w:p w:rsidR="00B82D53" w:rsidRPr="00B82D53" w:rsidRDefault="00AD4D66" w:rsidP="00AD4D66">
      <w:pPr>
        <w:pStyle w:val="SRTextnomal"/>
      </w:pPr>
      <w:r>
        <w:t>Již v roce 2022 byl splacen poslední zaručený úvěr přijatý Národní rozvojovou bankou, a.s. (dříve Českomoravskou záruční a rozvojovou bankou, a.s.), ve kterém jako věřitel vystupovala Evropská investiční banka. Tento úvěr byl určen na odstraňování škod z povodní.</w:t>
      </w:r>
    </w:p>
    <w:p w:rsidR="00B82D53" w:rsidRDefault="00B82D53" w:rsidP="002438AB">
      <w:pPr>
        <w:pStyle w:val="SRTextnomal"/>
      </w:pPr>
      <w:r w:rsidRPr="00B82D53">
        <w:t>Zdrojem splátek byl státní rozpočet, který se již při jejich přijetí ke splácení přímo zavázal. Příjemcem a zároveň finančním manažerem úvěru byla Národní rozvojová banka, a.s. (do 31. 8. 2021 Českomoravská záruční a rozvojová banka, a.s.). Od roku 2003 jsou úvěry na financování obdobných programů financovány přímými úvěry státu a instrument státních záruk již z tohoto titulu není využíván.</w:t>
      </w:r>
    </w:p>
    <w:p w:rsidR="009B35CE" w:rsidRPr="00B82D53" w:rsidRDefault="009B35CE" w:rsidP="002438AB">
      <w:pPr>
        <w:pStyle w:val="SRTextnomal"/>
      </w:pPr>
      <w:r w:rsidRPr="009B35CE">
        <w:t>Ze zákona č. 58/1995 Sb., o pojišťování a financování vývozu se státní podporou, ve znění pozdějších předpisů, stát ručí podle § 8 za závazky Exportní, garanční a pojišťo</w:t>
      </w:r>
      <w:r w:rsidRPr="009B35CE">
        <w:t>vací společnosti, a.s. (EGAP) z pojištění vývozních úvěrových rizik, za závazky České exportní banky (ČEB) za splácení finančních zdrojů získaných exportní bankou a za její závazky z ostatních operací na finančních trzích. ČEB předpokládá, že v roce 202</w:t>
      </w:r>
      <w:r w:rsidR="00B4128A">
        <w:t>6</w:t>
      </w:r>
      <w:r w:rsidRPr="009B35CE">
        <w:t xml:space="preserve"> se tyto závazky </w:t>
      </w:r>
      <w:r w:rsidR="00B4128A">
        <w:t>sníž</w:t>
      </w:r>
      <w:r w:rsidRPr="009B35CE">
        <w:t>í ve srovnání s rokem 202</w:t>
      </w:r>
      <w:r w:rsidR="00B4128A">
        <w:t>5</w:t>
      </w:r>
      <w:r w:rsidRPr="009B35CE">
        <w:t xml:space="preserve"> o </w:t>
      </w:r>
      <w:r w:rsidR="00B4128A">
        <w:t>1</w:t>
      </w:r>
      <w:r w:rsidRPr="009B35CE">
        <w:t xml:space="preserve"> mld. Kč na limitní objem </w:t>
      </w:r>
      <w:r w:rsidR="00B4128A">
        <w:t>29</w:t>
      </w:r>
      <w:r w:rsidRPr="009B35CE">
        <w:t xml:space="preserve"> mld. Kč. </w:t>
      </w:r>
      <w:r w:rsidR="00B4128A">
        <w:t>Pro rok 2027 je odhadován další pokles</w:t>
      </w:r>
      <w:r w:rsidR="00300223">
        <w:t xml:space="preserve"> o 4 mld. Kč</w:t>
      </w:r>
      <w:r w:rsidR="00B4128A">
        <w:t xml:space="preserve"> na</w:t>
      </w:r>
      <w:r w:rsidR="00300223">
        <w:t> </w:t>
      </w:r>
      <w:r w:rsidR="00B4128A">
        <w:t xml:space="preserve">limitní objem 25 mld. Kč. </w:t>
      </w:r>
      <w:r w:rsidRPr="009B35CE">
        <w:t>Banka při odhadu státní záruky zohledňuje predikci obchodní aktivity, která vychází z aktualizované základní varianty výhledu hospodaření. Rizikem pro</w:t>
      </w:r>
      <w:r w:rsidR="00B4128A">
        <w:t> </w:t>
      </w:r>
      <w:r w:rsidRPr="009B35CE">
        <w:t>státní rozpočet z těchto záruk je plnění v případě, že</w:t>
      </w:r>
      <w:r w:rsidR="00B4128A">
        <w:t> </w:t>
      </w:r>
      <w:r w:rsidRPr="009B35CE">
        <w:t>by exportní banka nemohla splácet své závazky. Pojistná kapacita EGAP je navržena</w:t>
      </w:r>
      <w:r>
        <w:t xml:space="preserve"> v obou letech výhledu</w:t>
      </w:r>
      <w:r w:rsidRPr="009B35CE">
        <w:t xml:space="preserve"> ve</w:t>
      </w:r>
      <w:r w:rsidR="00B4128A">
        <w:t> </w:t>
      </w:r>
      <w:r w:rsidRPr="009B35CE">
        <w:t>výši 200 mld. Kč. Rozpočtová pojistná kapacita představuje v souladu se zákonem maximální horní limit veškeré pojistné angažovanosti a sama o sobě nevytváří žádné další požadavky na prostředky ze státního rozpočtu.</w:t>
      </w:r>
    </w:p>
    <w:p w:rsidR="00B82D53" w:rsidRDefault="00B82D53" w:rsidP="002438AB">
      <w:pPr>
        <w:pStyle w:val="SRTextnomal"/>
      </w:pPr>
      <w:r w:rsidRPr="00B82D53">
        <w:t>Přehled výše plateb státní záruky pro roky 202</w:t>
      </w:r>
      <w:r w:rsidR="00AD4D66">
        <w:t>5</w:t>
      </w:r>
      <w:r w:rsidRPr="00B82D53">
        <w:t>-202</w:t>
      </w:r>
      <w:r w:rsidR="00AD4D66">
        <w:t>7</w:t>
      </w:r>
      <w:r w:rsidRPr="00B82D53">
        <w:t xml:space="preserve"> obsahuje tabulka č. 6 v Tabulkové části. V nejbližších letech se nárůst objemu záruk o nově poskytnuté úvěry neočekává.</w:t>
      </w:r>
    </w:p>
    <w:p w:rsidR="00CC35DC" w:rsidRPr="00B82D53" w:rsidRDefault="00CC35DC" w:rsidP="002438AB">
      <w:pPr>
        <w:pStyle w:val="SRTextnomal"/>
        <w:sectPr w:rsidR="00CC35DC" w:rsidRPr="00B82D53" w:rsidSect="00C906FD">
          <w:type w:val="continuous"/>
          <w:pgSz w:w="11906" w:h="16838" w:code="9"/>
          <w:pgMar w:top="1134" w:right="1134" w:bottom="1418" w:left="1134" w:header="709" w:footer="709" w:gutter="0"/>
          <w:cols w:num="2" w:space="397"/>
          <w:docGrid w:linePitch="360"/>
        </w:sectPr>
      </w:pPr>
    </w:p>
    <w:p w:rsidR="002A28E9" w:rsidRPr="002A28E9" w:rsidRDefault="00336C23" w:rsidP="002A28E9">
      <w:pPr>
        <w:sectPr w:rsidR="002A28E9" w:rsidRPr="002A28E9" w:rsidSect="00A26DEA">
          <w:type w:val="continuous"/>
          <w:pgSz w:w="11906" w:h="16838" w:code="9"/>
          <w:pgMar w:top="1134" w:right="1134" w:bottom="1418" w:left="1134" w:header="709" w:footer="709" w:gutter="0"/>
          <w:cols w:num="2" w:space="397"/>
          <w:docGrid w:linePitch="360"/>
        </w:sectPr>
      </w:pPr>
      <w:r>
        <w:t xml:space="preserve"> </w:t>
      </w:r>
    </w:p>
    <w:p w:rsidR="002A28E9" w:rsidRPr="002A28E9" w:rsidRDefault="002A28E9" w:rsidP="002A28E9">
      <w:pPr>
        <w:rPr>
          <w:b/>
          <w:bCs/>
        </w:rPr>
      </w:pPr>
      <w:r w:rsidRPr="002A28E9">
        <w:br w:type="page"/>
      </w:r>
    </w:p>
    <w:p w:rsidR="002A28E9" w:rsidRPr="002A28E9" w:rsidRDefault="002A28E9" w:rsidP="00EC46A9">
      <w:pPr>
        <w:pStyle w:val="Nadpis1"/>
        <w:tabs>
          <w:tab w:val="clear" w:pos="6663"/>
          <w:tab w:val="num" w:pos="567"/>
          <w:tab w:val="left" w:pos="6237"/>
        </w:tabs>
        <w:ind w:left="567"/>
      </w:pPr>
      <w:bookmarkStart w:id="219" w:name="_Toc112771443"/>
      <w:bookmarkStart w:id="220" w:name="_Toc145662083"/>
      <w:bookmarkStart w:id="221" w:name="_Toc175914438"/>
      <w:r w:rsidRPr="002A28E9">
        <w:lastRenderedPageBreak/>
        <w:t>Vývoj státního dluhu, příjmů a výdajů kapitoly Státní dluh</w:t>
      </w:r>
      <w:bookmarkEnd w:id="219"/>
      <w:bookmarkEnd w:id="220"/>
      <w:bookmarkEnd w:id="221"/>
    </w:p>
    <w:p w:rsidR="002A28E9" w:rsidRPr="002A28E9" w:rsidRDefault="002A28E9" w:rsidP="002A28E9">
      <w:pPr>
        <w:sectPr w:rsidR="002A28E9" w:rsidRPr="002A28E9" w:rsidSect="00A26DEA">
          <w:type w:val="continuous"/>
          <w:pgSz w:w="11906" w:h="16838" w:code="9"/>
          <w:pgMar w:top="1134" w:right="1134" w:bottom="1418" w:left="1134" w:header="709" w:footer="709" w:gutter="0"/>
          <w:cols w:space="709"/>
          <w:docGrid w:linePitch="360"/>
        </w:sectPr>
      </w:pPr>
    </w:p>
    <w:p w:rsidR="00F962C0" w:rsidRDefault="00F962C0" w:rsidP="00F962C0">
      <w:pPr>
        <w:pStyle w:val="SRTextnomal"/>
      </w:pPr>
      <w:r>
        <w:t>Návrh státního rozpočtu kapitoly Státní dluh na rok 2025 a střednědobý výhled na léta 2026 až 2027, doplněný o výhled vývoje státního dluhu, byl zpracován na základě předpokladu, že splátky státního dluhu budou refinancovány prostřednictvím emisní činnosti převážně na domácím trhu.</w:t>
      </w:r>
    </w:p>
    <w:p w:rsidR="002A28E9" w:rsidRDefault="00F962C0" w:rsidP="002438AB">
      <w:pPr>
        <w:pStyle w:val="SRTextnomal"/>
      </w:pPr>
      <w:r>
        <w:t>Růst státního dluhu České republiky v posledních několika letech vyplývá ze zvýšené emisní činnosti za účelem pokrytí celkové potřeby financování, která je pro rok 2024 plánována ve výši 476,5 mld. Kč, tj. přibližně 6,0 % HDP. Realizovaná výše potřeby financování pak bude zá</w:t>
      </w:r>
      <w:r w:rsidR="00596FAD">
        <w:t xml:space="preserve"> </w:t>
      </w:r>
      <w:r>
        <w:t>viset především na skutečném hospodaření státního rozpočtu, které je tak určujícím faktorem meziročního navýšení korunové hodnoty státního dluhu České republiky.</w:t>
      </w:r>
    </w:p>
    <w:p w:rsidR="005B4AB1" w:rsidRPr="002A28E9" w:rsidRDefault="005B4AB1" w:rsidP="002A28E9">
      <w:pPr>
        <w:rPr>
          <w:b/>
          <w:bCs/>
        </w:rPr>
        <w:sectPr w:rsidR="005B4AB1" w:rsidRPr="002A28E9" w:rsidSect="00A26DEA">
          <w:type w:val="continuous"/>
          <w:pgSz w:w="11906" w:h="16838" w:code="9"/>
          <w:pgMar w:top="1134" w:right="1134" w:bottom="1418" w:left="1134" w:header="709" w:footer="709" w:gutter="0"/>
          <w:cols w:num="2" w:space="397"/>
          <w:docGrid w:linePitch="360"/>
        </w:sectPr>
      </w:pPr>
    </w:p>
    <w:p w:rsidR="002A28E9" w:rsidRPr="008E2BEC" w:rsidRDefault="002A28E9" w:rsidP="0033216C">
      <w:pPr>
        <w:pStyle w:val="SRtitulek1"/>
      </w:pPr>
      <w:bookmarkStart w:id="222" w:name="_Toc145662021"/>
      <w:bookmarkStart w:id="223" w:name="_Toc175914470"/>
      <w:r w:rsidRPr="008E2BEC">
        <w:t xml:space="preserve">Tabulka </w:t>
      </w:r>
      <w:r w:rsidRPr="002A28E9">
        <w:fldChar w:fldCharType="begin"/>
      </w:r>
      <w:r w:rsidRPr="008E2BEC">
        <w:instrText xml:space="preserve"> SEQ Tabulka \* ARABIC </w:instrText>
      </w:r>
      <w:r w:rsidRPr="002A28E9">
        <w:fldChar w:fldCharType="separate"/>
      </w:r>
      <w:r w:rsidR="001773BF">
        <w:rPr>
          <w:noProof/>
        </w:rPr>
        <w:t>30</w:t>
      </w:r>
      <w:r w:rsidRPr="002A28E9">
        <w:fldChar w:fldCharType="end"/>
      </w:r>
      <w:r w:rsidRPr="008E2BEC">
        <w:t xml:space="preserve"> Vývoj státního dluhu a jeho podíl na HDP v letech 20</w:t>
      </w:r>
      <w:r w:rsidR="009245D1" w:rsidRPr="008E2BEC">
        <w:t>1</w:t>
      </w:r>
      <w:r w:rsidR="00235AAC">
        <w:t>4</w:t>
      </w:r>
      <w:r w:rsidRPr="008E2BEC">
        <w:t xml:space="preserve"> – 202</w:t>
      </w:r>
      <w:r w:rsidR="00F962C0">
        <w:t>7</w:t>
      </w:r>
      <w:bookmarkEnd w:id="222"/>
      <w:bookmarkEnd w:id="223"/>
    </w:p>
    <w:p w:rsidR="002A28E9" w:rsidRPr="002A28E9" w:rsidRDefault="00235AAC" w:rsidP="002A28E9">
      <w:r w:rsidRPr="00235AAC">
        <w:rPr>
          <w:noProof/>
          <w:lang w:val="en-US" w:eastAsia="en-US"/>
        </w:rPr>
        <w:drawing>
          <wp:inline distT="0" distB="0" distL="0" distR="0">
            <wp:extent cx="6120130" cy="1169917"/>
            <wp:effectExtent l="0" t="0" r="0" b="0"/>
            <wp:docPr id="33" name="Obrázek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6120130" cy="1169917"/>
                    </a:xfrm>
                    <a:prstGeom prst="rect">
                      <a:avLst/>
                    </a:prstGeom>
                    <a:noFill/>
                    <a:ln>
                      <a:noFill/>
                    </a:ln>
                  </pic:spPr>
                </pic:pic>
              </a:graphicData>
            </a:graphic>
          </wp:inline>
        </w:drawing>
      </w:r>
    </w:p>
    <w:p w:rsidR="002A28E9" w:rsidRPr="002A28E9" w:rsidRDefault="002A28E9" w:rsidP="002A28E9">
      <w:pPr>
        <w:sectPr w:rsidR="002A28E9" w:rsidRPr="002A28E9" w:rsidSect="00A26DEA">
          <w:type w:val="continuous"/>
          <w:pgSz w:w="11906" w:h="16838" w:code="9"/>
          <w:pgMar w:top="1134" w:right="1134" w:bottom="1418" w:left="1134" w:header="709" w:footer="709" w:gutter="0"/>
          <w:cols w:space="709"/>
          <w:docGrid w:linePitch="360"/>
        </w:sectPr>
      </w:pPr>
    </w:p>
    <w:p w:rsidR="002438AB" w:rsidRPr="002A28E9" w:rsidRDefault="00F962C0" w:rsidP="002438AB">
      <w:pPr>
        <w:pStyle w:val="SRTextnomal"/>
      </w:pPr>
      <w:r w:rsidRPr="00F962C0">
        <w:t>Skutečný vývoj státního dluhu v letech 2025 až 2027 bude záviset na skutečném hospodaření státního rozpočtu v</w:t>
      </w:r>
      <w:r>
        <w:t> </w:t>
      </w:r>
      <w:r w:rsidRPr="00F962C0">
        <w:t xml:space="preserve">těchto letech. Jeho výsledky pak budou ovlivňovat výdaje na obsluhu státního dluhu, které však budou záviset rovněž na budoucím vývoji na finančních trzích a na vývoji </w:t>
      </w:r>
      <w:r w:rsidRPr="00F962C0">
        <w:t>makroekonomických ukazatelů České republiky, zejména míry inflace. Ve střednědobém výhledu do roku 2027 by mělo být dosaženo stabilizace státního dluhu ve vztahu k</w:t>
      </w:r>
      <w:r>
        <w:t> </w:t>
      </w:r>
      <w:r w:rsidRPr="00F962C0">
        <w:t>hrubému domácímu produktu.</w:t>
      </w:r>
    </w:p>
    <w:p w:rsidR="002A28E9" w:rsidRPr="002A28E9" w:rsidRDefault="002A28E9" w:rsidP="002A28E9">
      <w:pPr>
        <w:sectPr w:rsidR="002A28E9" w:rsidRPr="002A28E9" w:rsidSect="00A26DEA">
          <w:type w:val="continuous"/>
          <w:pgSz w:w="11906" w:h="16838" w:code="9"/>
          <w:pgMar w:top="1134" w:right="1134" w:bottom="1418" w:left="1134" w:header="709" w:footer="709" w:gutter="0"/>
          <w:cols w:num="2" w:space="397"/>
          <w:docGrid w:linePitch="360"/>
        </w:sectPr>
      </w:pPr>
    </w:p>
    <w:p w:rsidR="002A28E9" w:rsidRPr="008E2BEC" w:rsidRDefault="002A28E9" w:rsidP="0033216C">
      <w:pPr>
        <w:pStyle w:val="SRtitulek1"/>
      </w:pPr>
      <w:bookmarkStart w:id="224" w:name="_Toc115424553"/>
      <w:r w:rsidRPr="008E2BEC">
        <w:t xml:space="preserve">Graf </w:t>
      </w:r>
      <w:r w:rsidRPr="002A28E9">
        <w:fldChar w:fldCharType="begin"/>
      </w:r>
      <w:r w:rsidRPr="008E2BEC">
        <w:instrText xml:space="preserve"> SEQ Graf \* ARABIC </w:instrText>
      </w:r>
      <w:r w:rsidRPr="002A28E9">
        <w:fldChar w:fldCharType="separate"/>
      </w:r>
      <w:r w:rsidR="001773BF">
        <w:rPr>
          <w:noProof/>
        </w:rPr>
        <w:t>15</w:t>
      </w:r>
      <w:r w:rsidRPr="002A28E9">
        <w:fldChar w:fldCharType="end"/>
      </w:r>
      <w:r w:rsidRPr="008E2BEC">
        <w:t xml:space="preserve"> Vývoj státního dluhu a jeho střednědobý výhled v letech 20</w:t>
      </w:r>
      <w:r w:rsidR="009245D1" w:rsidRPr="008E2BEC">
        <w:t>1</w:t>
      </w:r>
      <w:r w:rsidR="002F6868">
        <w:t>4</w:t>
      </w:r>
      <w:r w:rsidRPr="008E2BEC">
        <w:t xml:space="preserve"> - 202</w:t>
      </w:r>
      <w:r w:rsidR="002F6868">
        <w:t>7</w:t>
      </w:r>
      <w:bookmarkEnd w:id="224"/>
    </w:p>
    <w:p w:rsidR="002A28E9" w:rsidRPr="002A28E9" w:rsidRDefault="00235AAC" w:rsidP="002A28E9">
      <w:r>
        <w:rPr>
          <w:noProof/>
          <w:lang w:val="en-US" w:eastAsia="en-US"/>
        </w:rPr>
        <w:drawing>
          <wp:inline distT="0" distB="0" distL="0" distR="0" wp14:anchorId="6B0007B1">
            <wp:extent cx="6054090" cy="4036060"/>
            <wp:effectExtent l="0" t="0" r="3810" b="254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6054090" cy="4036060"/>
                    </a:xfrm>
                    <a:prstGeom prst="rect">
                      <a:avLst/>
                    </a:prstGeom>
                    <a:noFill/>
                  </pic:spPr>
                </pic:pic>
              </a:graphicData>
            </a:graphic>
          </wp:inline>
        </w:drawing>
      </w:r>
    </w:p>
    <w:p w:rsidR="009245D1" w:rsidRDefault="009245D1" w:rsidP="002A28E9">
      <w:pPr>
        <w:rPr>
          <w:b/>
          <w:bCs/>
        </w:rPr>
      </w:pPr>
    </w:p>
    <w:p w:rsidR="000665F5" w:rsidRPr="002A28E9" w:rsidRDefault="000665F5" w:rsidP="002A28E9">
      <w:pPr>
        <w:rPr>
          <w:b/>
          <w:bCs/>
        </w:rPr>
        <w:sectPr w:rsidR="000665F5" w:rsidRPr="002A28E9" w:rsidSect="00A26DEA">
          <w:type w:val="continuous"/>
          <w:pgSz w:w="11906" w:h="16838" w:code="9"/>
          <w:pgMar w:top="1134" w:right="1134" w:bottom="1418" w:left="1134" w:header="709" w:footer="709" w:gutter="0"/>
          <w:cols w:space="709"/>
          <w:docGrid w:linePitch="360"/>
        </w:sectPr>
      </w:pPr>
    </w:p>
    <w:p w:rsidR="002A28E9" w:rsidRPr="008E2BEC" w:rsidRDefault="002A28E9" w:rsidP="0033216C">
      <w:pPr>
        <w:pStyle w:val="SRtitulek1"/>
      </w:pPr>
      <w:bookmarkStart w:id="225" w:name="_Toc145662022"/>
      <w:bookmarkStart w:id="226" w:name="_Toc175914471"/>
      <w:r w:rsidRPr="008E2BEC">
        <w:lastRenderedPageBreak/>
        <w:t xml:space="preserve">Tabulka </w:t>
      </w:r>
      <w:r w:rsidRPr="002A28E9">
        <w:fldChar w:fldCharType="begin"/>
      </w:r>
      <w:r w:rsidRPr="008E2BEC">
        <w:instrText xml:space="preserve"> SEQ Tabulka \* ARABIC </w:instrText>
      </w:r>
      <w:r w:rsidRPr="002A28E9">
        <w:fldChar w:fldCharType="separate"/>
      </w:r>
      <w:r w:rsidR="001773BF">
        <w:rPr>
          <w:noProof/>
        </w:rPr>
        <w:t>31</w:t>
      </w:r>
      <w:r w:rsidRPr="002A28E9">
        <w:fldChar w:fldCharType="end"/>
      </w:r>
      <w:r w:rsidRPr="008E2BEC">
        <w:t xml:space="preserve"> Základní ukazatele státního rozpočtu v kapitole Státní dluh v letech 2019 – 202</w:t>
      </w:r>
      <w:r w:rsidR="00235AAC">
        <w:t>7</w:t>
      </w:r>
      <w:r w:rsidRPr="008E2BEC">
        <w:t xml:space="preserve"> </w:t>
      </w:r>
      <w:r w:rsidRPr="00E718F6">
        <w:rPr>
          <w:i/>
        </w:rPr>
        <w:t>(v mil. Kč)</w:t>
      </w:r>
      <w:bookmarkEnd w:id="225"/>
      <w:bookmarkEnd w:id="226"/>
    </w:p>
    <w:p w:rsidR="002A28E9" w:rsidRPr="002A28E9" w:rsidRDefault="00235AAC" w:rsidP="002A28E9">
      <w:pPr>
        <w:rPr>
          <w:i/>
        </w:rPr>
      </w:pPr>
      <w:r w:rsidRPr="00235AAC">
        <w:rPr>
          <w:noProof/>
          <w:lang w:val="en-US" w:eastAsia="en-US"/>
        </w:rPr>
        <w:drawing>
          <wp:inline distT="0" distB="0" distL="0" distR="0">
            <wp:extent cx="6120130" cy="844943"/>
            <wp:effectExtent l="0" t="0" r="0" b="0"/>
            <wp:docPr id="35" name="Obrázek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6120130" cy="844943"/>
                    </a:xfrm>
                    <a:prstGeom prst="rect">
                      <a:avLst/>
                    </a:prstGeom>
                    <a:noFill/>
                    <a:ln>
                      <a:noFill/>
                    </a:ln>
                  </pic:spPr>
                </pic:pic>
              </a:graphicData>
            </a:graphic>
          </wp:inline>
        </w:drawing>
      </w:r>
    </w:p>
    <w:p w:rsidR="002A28E9" w:rsidRPr="002A28E9" w:rsidRDefault="002A28E9" w:rsidP="002A28E9">
      <w:pPr>
        <w:rPr>
          <w:i/>
        </w:rPr>
        <w:sectPr w:rsidR="002A28E9" w:rsidRPr="002A28E9" w:rsidSect="00A26DEA">
          <w:type w:val="continuous"/>
          <w:pgSz w:w="11906" w:h="16838" w:code="9"/>
          <w:pgMar w:top="1134" w:right="1134" w:bottom="1418" w:left="1134" w:header="709" w:footer="709" w:gutter="0"/>
          <w:cols w:space="709"/>
          <w:docGrid w:linePitch="360"/>
        </w:sectPr>
      </w:pPr>
    </w:p>
    <w:p w:rsidR="002F6868" w:rsidRDefault="002F6868" w:rsidP="002F6868">
      <w:pPr>
        <w:pStyle w:val="SRTextnomal"/>
      </w:pPr>
      <w:r>
        <w:t xml:space="preserve">Celkové výdaje kapitoly na rok 2025 jsou navrhovány ve výši 100,0 mld. Kč. Pro rok 2026 jsou celkové výdaje kapitoly navrhovány ve výši 110,0 mld. Kč a pro rok 2027 je stanoven rámec výdajů kapitoly na úrovni 118,0 mld. Kč. Výdaje budou upřesňovány s ohledem na vývoj úrokových sazeb a na vývoj na domácím, případně zahraničních trzích. </w:t>
      </w:r>
    </w:p>
    <w:p w:rsidR="002F6868" w:rsidRPr="009245D1" w:rsidRDefault="002F6868" w:rsidP="002F6868">
      <w:pPr>
        <w:pStyle w:val="SRTextnomal"/>
      </w:pPr>
      <w:r>
        <w:t>V souladu s § 34 odst. 8 zákona o rozpočtových pravidlech je v rámci rozpočtového roku prováděno sečtení a vzájemné započtení korunových, eurových i dolarových příjmů a výdajů kapitoly 396 – Státní dluh, jestliže souvisejí s řízením likvidity státní pokladny nebo řízením státního dluhu, včetně poplatků. Příjmy kapitoly pro léta 2025 až 2027 jsou tak rozpočtovány v nulové výši.</w:t>
      </w:r>
    </w:p>
    <w:p w:rsidR="009245D1" w:rsidRPr="009245D1" w:rsidRDefault="009245D1" w:rsidP="002438AB">
      <w:pPr>
        <w:pStyle w:val="SRTextnomal"/>
      </w:pPr>
    </w:p>
    <w:p w:rsidR="002A28E9" w:rsidRPr="002A28E9" w:rsidRDefault="002A28E9" w:rsidP="002A28E9">
      <w:pPr>
        <w:sectPr w:rsidR="002A28E9" w:rsidRPr="002A28E9" w:rsidSect="00A26DEA">
          <w:type w:val="continuous"/>
          <w:pgSz w:w="11906" w:h="16838" w:code="9"/>
          <w:pgMar w:top="1134" w:right="1134" w:bottom="1418" w:left="1134" w:header="709" w:footer="709" w:gutter="0"/>
          <w:cols w:num="2" w:space="397"/>
          <w:docGrid w:linePitch="360"/>
        </w:sectPr>
      </w:pPr>
    </w:p>
    <w:p w:rsidR="002A28E9" w:rsidRPr="002A28E9" w:rsidRDefault="002A28E9" w:rsidP="002A28E9">
      <w:pPr>
        <w:rPr>
          <w:b/>
          <w:bCs/>
        </w:rPr>
      </w:pPr>
      <w:r w:rsidRPr="002A28E9">
        <w:br w:type="page"/>
      </w:r>
    </w:p>
    <w:p w:rsidR="002A28E9" w:rsidRPr="002A28E9" w:rsidRDefault="002A28E9" w:rsidP="00EC46A9">
      <w:pPr>
        <w:pStyle w:val="Nadpis1"/>
        <w:tabs>
          <w:tab w:val="clear" w:pos="6663"/>
        </w:tabs>
        <w:ind w:left="567"/>
      </w:pPr>
      <w:bookmarkStart w:id="227" w:name="_Toc52369427"/>
      <w:bookmarkStart w:id="228" w:name="_Toc112771444"/>
      <w:bookmarkStart w:id="229" w:name="_Toc145662084"/>
      <w:bookmarkStart w:id="230" w:name="_Toc175914439"/>
      <w:r w:rsidRPr="002A28E9">
        <w:lastRenderedPageBreak/>
        <w:t>Závazky státu vyplývající z víceletých významných veřejných zakázek a z koncesních smluv</w:t>
      </w:r>
      <w:bookmarkEnd w:id="227"/>
      <w:bookmarkEnd w:id="228"/>
      <w:bookmarkEnd w:id="229"/>
      <w:bookmarkEnd w:id="230"/>
    </w:p>
    <w:p w:rsidR="002A28E9" w:rsidRPr="002A28E9" w:rsidRDefault="002A28E9" w:rsidP="002A28E9">
      <w:pPr>
        <w:sectPr w:rsidR="002A28E9" w:rsidRPr="002A28E9" w:rsidSect="00A26DEA">
          <w:type w:val="continuous"/>
          <w:pgSz w:w="11906" w:h="16838" w:code="9"/>
          <w:pgMar w:top="1134" w:right="1134" w:bottom="1418" w:left="1134" w:header="709" w:footer="709" w:gutter="0"/>
          <w:cols w:space="709"/>
          <w:docGrid w:linePitch="360"/>
        </w:sectPr>
      </w:pPr>
    </w:p>
    <w:p w:rsidR="007B4D4A" w:rsidRDefault="007B4D4A" w:rsidP="007B4D4A">
      <w:pPr>
        <w:pStyle w:val="SRTextnomal"/>
      </w:pPr>
      <w:r>
        <w:t>Ministerstva zahraničních věcí, obrany, financí, vnitra, práce a sociálních věcí, dopravy, kultury a zemědělství předpokládají na léta 2026 a 2027 realizaci 138 resp. 116 smluv na víceleté veřejné zakázky, jejichž předpokládaná hodnota dosahuje 300 mil. Kč a více.</w:t>
      </w:r>
    </w:p>
    <w:p w:rsidR="007B4D4A" w:rsidRPr="00681880" w:rsidRDefault="007B4D4A" w:rsidP="007B4D4A">
      <w:pPr>
        <w:pStyle w:val="SRTextnomal"/>
      </w:pPr>
      <w:r>
        <w:t>Celková hodnota výdajů státu na realizaci těchto smluv v období od roku 2026 do ukončení smluv dosáhne 385,1 mld. Kč. Nejvyšších hodnot dosahují víceleté zakázky Ministerstva obrany.</w:t>
      </w:r>
    </w:p>
    <w:p w:rsidR="002A28E9" w:rsidRDefault="002A28E9" w:rsidP="002438AB">
      <w:pPr>
        <w:pStyle w:val="SRTextnomal"/>
      </w:pPr>
    </w:p>
    <w:p w:rsidR="002A28E9" w:rsidRDefault="002A28E9" w:rsidP="002A28E9">
      <w:pPr>
        <w:sectPr w:rsidR="002A28E9" w:rsidSect="002A28E9">
          <w:type w:val="continuous"/>
          <w:pgSz w:w="11906" w:h="16838" w:code="9"/>
          <w:pgMar w:top="1134" w:right="1134" w:bottom="1418" w:left="1134" w:header="709" w:footer="709" w:gutter="0"/>
          <w:cols w:num="2" w:space="397"/>
          <w:docGrid w:linePitch="360"/>
        </w:sectPr>
      </w:pPr>
    </w:p>
    <w:p w:rsidR="002A28E9" w:rsidRDefault="002A28E9" w:rsidP="002A28E9">
      <w:r>
        <w:br w:type="page"/>
      </w:r>
    </w:p>
    <w:p w:rsidR="002A28E9" w:rsidRPr="002A28E9" w:rsidRDefault="002A28E9" w:rsidP="00EC46A9">
      <w:pPr>
        <w:pStyle w:val="Nadpis1"/>
        <w:tabs>
          <w:tab w:val="clear" w:pos="6663"/>
          <w:tab w:val="num" w:pos="6379"/>
        </w:tabs>
        <w:ind w:left="567"/>
      </w:pPr>
      <w:bookmarkStart w:id="231" w:name="_Toc52369428"/>
      <w:bookmarkStart w:id="232" w:name="_Toc112771445"/>
      <w:bookmarkStart w:id="233" w:name="_Toc145662085"/>
      <w:bookmarkStart w:id="234" w:name="_Toc175914440"/>
      <w:r w:rsidRPr="002A28E9">
        <w:lastRenderedPageBreak/>
        <w:t>Tabulková část</w:t>
      </w:r>
      <w:bookmarkEnd w:id="231"/>
      <w:bookmarkEnd w:id="232"/>
      <w:bookmarkEnd w:id="233"/>
      <w:bookmarkEnd w:id="234"/>
    </w:p>
    <w:p w:rsidR="00DA28CB" w:rsidRDefault="00DA28CB" w:rsidP="002A28E9"/>
    <w:sectPr w:rsidR="00DA28CB" w:rsidSect="009A7B1A">
      <w:type w:val="continuous"/>
      <w:pgSz w:w="11906" w:h="16838" w:code="9"/>
      <w:pgMar w:top="1134" w:right="1134" w:bottom="1418" w:left="1134" w:header="709" w:footer="709" w:gutter="0"/>
      <w:cols w:space="397"/>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4435E7" w16cid:durableId="26B270A7"/>
  <w16cid:commentId w16cid:paraId="1DCE4504" w16cid:durableId="26B270A8"/>
  <w16cid:commentId w16cid:paraId="38EA4646" w16cid:durableId="26B270A9"/>
  <w16cid:commentId w16cid:paraId="4FA51606" w16cid:durableId="26B270A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5C2C" w:rsidRDefault="00335C2C" w:rsidP="00332D4D">
      <w:pPr>
        <w:spacing w:after="0"/>
      </w:pPr>
      <w:r>
        <w:separator/>
      </w:r>
    </w:p>
  </w:endnote>
  <w:endnote w:type="continuationSeparator" w:id="0">
    <w:p w:rsidR="00335C2C" w:rsidRDefault="00335C2C" w:rsidP="00332D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5C2C" w:rsidRDefault="00335C2C" w:rsidP="007A1923">
    <w:pPr>
      <w:jc w:val="cen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vertAnchor="text" w:horzAnchor="page" w:tblpX="10484" w:tblpY="1"/>
      <w:tblOverlap w:val="never"/>
      <w:tblW w:w="2206" w:type="pct"/>
      <w:tblBorders>
        <w:top w:val="single" w:sz="2" w:space="0" w:color="FFFFFF"/>
        <w:left w:val="single" w:sz="2" w:space="0" w:color="FFFFFF"/>
        <w:bottom w:val="single" w:sz="2" w:space="0" w:color="FFFFFF"/>
        <w:right w:val="single" w:sz="2" w:space="0" w:color="FFFFFF"/>
        <w:insideH w:val="single" w:sz="12" w:space="0" w:color="999999"/>
        <w:insideV w:val="single" w:sz="12" w:space="0" w:color="999999"/>
      </w:tblBorders>
      <w:tblLook w:val="01E0" w:firstRow="1" w:lastRow="1" w:firstColumn="1" w:lastColumn="1" w:noHBand="0" w:noVBand="0"/>
    </w:tblPr>
    <w:tblGrid>
      <w:gridCol w:w="5287"/>
      <w:gridCol w:w="1013"/>
    </w:tblGrid>
    <w:tr w:rsidR="00335C2C" w:rsidRPr="00175F17" w:rsidTr="00576069">
      <w:trPr>
        <w:cantSplit/>
      </w:trPr>
      <w:tc>
        <w:tcPr>
          <w:tcW w:w="4196" w:type="pct"/>
          <w:shd w:val="clear" w:color="auto" w:fill="auto"/>
          <w:noWrap/>
          <w:vAlign w:val="center"/>
        </w:tcPr>
        <w:p w:rsidR="00335C2C" w:rsidRPr="0017797C" w:rsidRDefault="00335C2C" w:rsidP="00DD2AA5">
          <w:pPr>
            <w:suppressAutoHyphens/>
            <w:spacing w:after="0"/>
            <w:ind w:left="1024" w:hanging="1024"/>
            <w:jc w:val="right"/>
            <w:rPr>
              <w:b/>
              <w:noProof/>
              <w:color w:val="999999"/>
              <w:sz w:val="16"/>
              <w:szCs w:val="16"/>
            </w:rPr>
          </w:pPr>
          <w:r>
            <w:rPr>
              <w:b/>
              <w:noProof/>
              <w:color w:val="999999"/>
              <w:sz w:val="16"/>
              <w:szCs w:val="16"/>
            </w:rPr>
            <w:t>Návrh střednědobého výhledu státního rozpočtu na léta 2026 a 2027</w:t>
          </w:r>
        </w:p>
      </w:tc>
      <w:tc>
        <w:tcPr>
          <w:tcW w:w="804" w:type="pct"/>
          <w:shd w:val="clear" w:color="auto" w:fill="auto"/>
          <w:vAlign w:val="center"/>
        </w:tcPr>
        <w:p w:rsidR="00335C2C" w:rsidRPr="006E3BB6" w:rsidRDefault="00335C2C" w:rsidP="00576069">
          <w:pPr>
            <w:spacing w:after="0"/>
            <w:rPr>
              <w:rStyle w:val="slostrnky"/>
              <w:sz w:val="32"/>
            </w:rPr>
          </w:pPr>
          <w:r w:rsidRPr="00175F17">
            <w:rPr>
              <w:rStyle w:val="slostrnky"/>
              <w:sz w:val="32"/>
              <w:szCs w:val="32"/>
            </w:rPr>
            <w:fldChar w:fldCharType="begin"/>
          </w:r>
          <w:r w:rsidRPr="00175F17">
            <w:rPr>
              <w:rStyle w:val="slostrnky"/>
              <w:sz w:val="32"/>
              <w:szCs w:val="32"/>
            </w:rPr>
            <w:instrText xml:space="preserve"> PAGE </w:instrText>
          </w:r>
          <w:r w:rsidRPr="00175F17">
            <w:rPr>
              <w:rStyle w:val="slostrnky"/>
              <w:sz w:val="32"/>
              <w:szCs w:val="32"/>
            </w:rPr>
            <w:fldChar w:fldCharType="separate"/>
          </w:r>
          <w:r w:rsidR="00010FD9">
            <w:rPr>
              <w:rStyle w:val="slostrnky"/>
              <w:noProof/>
              <w:sz w:val="32"/>
              <w:szCs w:val="32"/>
            </w:rPr>
            <w:t>23</w:t>
          </w:r>
          <w:r w:rsidRPr="00175F17">
            <w:rPr>
              <w:rStyle w:val="slostrnky"/>
              <w:sz w:val="32"/>
              <w:szCs w:val="32"/>
            </w:rPr>
            <w:fldChar w:fldCharType="end"/>
          </w:r>
        </w:p>
      </w:tc>
    </w:tr>
  </w:tbl>
  <w:p w:rsidR="00335C2C" w:rsidRPr="00553D95" w:rsidRDefault="00335C2C" w:rsidP="00576069">
    <w:pPr>
      <w:pStyle w:val="Zpat"/>
      <w:jc w:val="right"/>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vertAnchor="text" w:horzAnchor="page" w:tblpX="7510" w:tblpY="1"/>
      <w:tblOverlap w:val="never"/>
      <w:tblW w:w="2104" w:type="pct"/>
      <w:tblBorders>
        <w:top w:val="single" w:sz="2" w:space="0" w:color="FFFFFF"/>
        <w:left w:val="single" w:sz="2" w:space="0" w:color="FFFFFF"/>
        <w:bottom w:val="single" w:sz="2" w:space="0" w:color="FFFFFF"/>
        <w:right w:val="single" w:sz="2" w:space="0" w:color="FFFFFF"/>
        <w:insideH w:val="single" w:sz="12" w:space="0" w:color="999999"/>
        <w:insideV w:val="single" w:sz="12" w:space="0" w:color="999999"/>
      </w:tblBorders>
      <w:tblLook w:val="01E0" w:firstRow="1" w:lastRow="1" w:firstColumn="1" w:lastColumn="1" w:noHBand="0" w:noVBand="0"/>
    </w:tblPr>
    <w:tblGrid>
      <w:gridCol w:w="3350"/>
      <w:gridCol w:w="703"/>
    </w:tblGrid>
    <w:tr w:rsidR="00335C2C" w:rsidRPr="00175F17" w:rsidTr="00576069">
      <w:trPr>
        <w:cantSplit/>
      </w:trPr>
      <w:tc>
        <w:tcPr>
          <w:tcW w:w="4133" w:type="pct"/>
          <w:shd w:val="clear" w:color="auto" w:fill="auto"/>
          <w:vAlign w:val="center"/>
        </w:tcPr>
        <w:p w:rsidR="00335C2C" w:rsidRDefault="00335C2C" w:rsidP="00005236">
          <w:pPr>
            <w:suppressAutoHyphens/>
            <w:spacing w:after="0"/>
            <w:jc w:val="right"/>
            <w:rPr>
              <w:b/>
              <w:noProof/>
              <w:color w:val="999999"/>
              <w:sz w:val="16"/>
              <w:szCs w:val="16"/>
            </w:rPr>
          </w:pPr>
          <w:r>
            <w:rPr>
              <w:b/>
              <w:noProof/>
              <w:color w:val="999999"/>
              <w:sz w:val="16"/>
              <w:szCs w:val="16"/>
            </w:rPr>
            <w:t xml:space="preserve">Návrh střednědobého výhledu </w:t>
          </w:r>
        </w:p>
        <w:p w:rsidR="00335C2C" w:rsidRPr="0017797C" w:rsidRDefault="00335C2C" w:rsidP="00DD2AA5">
          <w:pPr>
            <w:suppressAutoHyphens/>
            <w:spacing w:after="0"/>
            <w:jc w:val="right"/>
            <w:rPr>
              <w:b/>
              <w:noProof/>
              <w:color w:val="999999"/>
              <w:sz w:val="16"/>
              <w:szCs w:val="16"/>
            </w:rPr>
          </w:pPr>
          <w:r>
            <w:rPr>
              <w:b/>
              <w:noProof/>
              <w:color w:val="999999"/>
              <w:sz w:val="16"/>
              <w:szCs w:val="16"/>
            </w:rPr>
            <w:t>na léta 2026 a 2027</w:t>
          </w:r>
        </w:p>
      </w:tc>
      <w:tc>
        <w:tcPr>
          <w:tcW w:w="867" w:type="pct"/>
          <w:shd w:val="clear" w:color="auto" w:fill="auto"/>
          <w:vAlign w:val="center"/>
        </w:tcPr>
        <w:p w:rsidR="00335C2C" w:rsidRPr="006E3BB6" w:rsidRDefault="00335C2C" w:rsidP="00576069">
          <w:pPr>
            <w:spacing w:after="0"/>
            <w:rPr>
              <w:rStyle w:val="slostrnky"/>
              <w:sz w:val="32"/>
            </w:rPr>
          </w:pPr>
          <w:r w:rsidRPr="00175F17">
            <w:rPr>
              <w:rStyle w:val="slostrnky"/>
              <w:sz w:val="32"/>
              <w:szCs w:val="32"/>
            </w:rPr>
            <w:fldChar w:fldCharType="begin"/>
          </w:r>
          <w:r w:rsidRPr="00175F17">
            <w:rPr>
              <w:rStyle w:val="slostrnky"/>
              <w:sz w:val="32"/>
              <w:szCs w:val="32"/>
            </w:rPr>
            <w:instrText xml:space="preserve"> PAGE </w:instrText>
          </w:r>
          <w:r w:rsidRPr="00175F17">
            <w:rPr>
              <w:rStyle w:val="slostrnky"/>
              <w:sz w:val="32"/>
              <w:szCs w:val="32"/>
            </w:rPr>
            <w:fldChar w:fldCharType="separate"/>
          </w:r>
          <w:r w:rsidR="00010FD9">
            <w:rPr>
              <w:rStyle w:val="slostrnky"/>
              <w:noProof/>
              <w:sz w:val="32"/>
              <w:szCs w:val="32"/>
            </w:rPr>
            <w:t>27</w:t>
          </w:r>
          <w:r w:rsidRPr="00175F17">
            <w:rPr>
              <w:rStyle w:val="slostrnky"/>
              <w:sz w:val="32"/>
              <w:szCs w:val="32"/>
            </w:rPr>
            <w:fldChar w:fldCharType="end"/>
          </w:r>
        </w:p>
      </w:tc>
    </w:tr>
  </w:tbl>
  <w:p w:rsidR="00335C2C" w:rsidRPr="00553D95" w:rsidRDefault="00335C2C" w:rsidP="00576069">
    <w:pPr>
      <w:pStyle w:val="Zpat"/>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5C2C" w:rsidRPr="00A12A05" w:rsidRDefault="00335C2C" w:rsidP="007A1923">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vertAnchor="text" w:horzAnchor="page" w:tblpX="568" w:tblpY="1"/>
      <w:tblOverlap w:val="never"/>
      <w:tblW w:w="1730" w:type="pct"/>
      <w:tblBorders>
        <w:top w:val="single" w:sz="2" w:space="0" w:color="FFFFFF"/>
        <w:left w:val="single" w:sz="2" w:space="0" w:color="FFFFFF"/>
        <w:bottom w:val="single" w:sz="2" w:space="0" w:color="FFFFFF"/>
        <w:right w:val="single" w:sz="2" w:space="0" w:color="FFFFFF"/>
        <w:insideH w:val="single" w:sz="12" w:space="0" w:color="999999"/>
        <w:insideV w:val="single" w:sz="12" w:space="0" w:color="999999"/>
      </w:tblBorders>
      <w:tblLook w:val="01E0" w:firstRow="1" w:lastRow="1" w:firstColumn="1" w:lastColumn="1" w:noHBand="0" w:noVBand="0"/>
    </w:tblPr>
    <w:tblGrid>
      <w:gridCol w:w="633"/>
      <w:gridCol w:w="2700"/>
    </w:tblGrid>
    <w:tr w:rsidR="00335C2C" w:rsidRPr="00175F17" w:rsidTr="007A1923">
      <w:trPr>
        <w:cantSplit/>
      </w:trPr>
      <w:tc>
        <w:tcPr>
          <w:tcW w:w="950" w:type="pct"/>
          <w:shd w:val="clear" w:color="auto" w:fill="auto"/>
          <w:vAlign w:val="center"/>
        </w:tcPr>
        <w:p w:rsidR="00335C2C" w:rsidRPr="00175F17" w:rsidRDefault="00335C2C" w:rsidP="007A1923">
          <w:pPr>
            <w:spacing w:after="0"/>
            <w:jc w:val="right"/>
            <w:rPr>
              <w:color w:val="999999"/>
              <w:sz w:val="16"/>
              <w:szCs w:val="16"/>
            </w:rPr>
          </w:pPr>
          <w:r>
            <w:rPr>
              <w:rStyle w:val="slostrnky"/>
              <w:sz w:val="32"/>
              <w:szCs w:val="32"/>
            </w:rPr>
            <w:fldChar w:fldCharType="begin"/>
          </w:r>
          <w:r>
            <w:rPr>
              <w:rStyle w:val="slostrnky"/>
              <w:sz w:val="32"/>
              <w:szCs w:val="32"/>
            </w:rPr>
            <w:instrText xml:space="preserve"> PAGE  </w:instrText>
          </w:r>
          <w:r>
            <w:rPr>
              <w:rStyle w:val="slostrnky"/>
              <w:sz w:val="32"/>
              <w:szCs w:val="32"/>
            </w:rPr>
            <w:fldChar w:fldCharType="separate"/>
          </w:r>
          <w:r>
            <w:rPr>
              <w:rStyle w:val="slostrnky"/>
              <w:noProof/>
              <w:sz w:val="32"/>
              <w:szCs w:val="32"/>
            </w:rPr>
            <w:t>4</w:t>
          </w:r>
          <w:r>
            <w:rPr>
              <w:rStyle w:val="slostrnky"/>
              <w:sz w:val="32"/>
              <w:szCs w:val="32"/>
            </w:rPr>
            <w:fldChar w:fldCharType="end"/>
          </w:r>
        </w:p>
      </w:tc>
      <w:tc>
        <w:tcPr>
          <w:tcW w:w="4050" w:type="pct"/>
          <w:shd w:val="clear" w:color="auto" w:fill="auto"/>
          <w:vAlign w:val="center"/>
        </w:tcPr>
        <w:p w:rsidR="00335C2C" w:rsidRPr="00175F17" w:rsidRDefault="00335C2C" w:rsidP="007A1923">
          <w:pPr>
            <w:suppressAutoHyphens/>
            <w:spacing w:after="0"/>
            <w:jc w:val="left"/>
            <w:rPr>
              <w:color w:val="999999"/>
              <w:sz w:val="32"/>
              <w:szCs w:val="32"/>
            </w:rPr>
          </w:pPr>
          <w:r w:rsidRPr="0017797C">
            <w:rPr>
              <w:b/>
              <w:color w:val="999999"/>
              <w:sz w:val="16"/>
              <w:szCs w:val="16"/>
            </w:rPr>
            <w:t>Zpráva ke státnímu rozpočtu České republiky na rok 2019</w:t>
          </w:r>
        </w:p>
      </w:tc>
    </w:tr>
  </w:tbl>
  <w:p w:rsidR="00335C2C" w:rsidRPr="00A12A05" w:rsidRDefault="00335C2C" w:rsidP="007A1923">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vertAnchor="text" w:horzAnchor="page" w:tblpX="7939" w:tblpY="1"/>
      <w:tblOverlap w:val="never"/>
      <w:tblW w:w="1881" w:type="pct"/>
      <w:tblBorders>
        <w:top w:val="single" w:sz="2" w:space="0" w:color="FFFFFF"/>
        <w:left w:val="single" w:sz="2" w:space="0" w:color="FFFFFF"/>
        <w:bottom w:val="single" w:sz="2" w:space="0" w:color="FFFFFF"/>
        <w:right w:val="single" w:sz="2" w:space="0" w:color="FFFFFF"/>
        <w:insideH w:val="single" w:sz="12" w:space="0" w:color="999999"/>
        <w:insideV w:val="single" w:sz="12" w:space="0" w:color="999999"/>
      </w:tblBorders>
      <w:tblLook w:val="01E0" w:firstRow="1" w:lastRow="1" w:firstColumn="1" w:lastColumn="1" w:noHBand="0" w:noVBand="0"/>
    </w:tblPr>
    <w:tblGrid>
      <w:gridCol w:w="2921"/>
      <w:gridCol w:w="703"/>
    </w:tblGrid>
    <w:tr w:rsidR="00335C2C" w:rsidRPr="00175F17" w:rsidTr="005237E6">
      <w:trPr>
        <w:cantSplit/>
      </w:trPr>
      <w:tc>
        <w:tcPr>
          <w:tcW w:w="4030" w:type="pct"/>
          <w:shd w:val="clear" w:color="auto" w:fill="auto"/>
          <w:vAlign w:val="center"/>
        </w:tcPr>
        <w:p w:rsidR="00335C2C" w:rsidRPr="0017797C" w:rsidRDefault="00335C2C" w:rsidP="002A23FD">
          <w:pPr>
            <w:suppressAutoHyphens/>
            <w:spacing w:after="0"/>
            <w:ind w:left="37"/>
            <w:jc w:val="right"/>
            <w:rPr>
              <w:b/>
              <w:color w:val="999999"/>
              <w:sz w:val="16"/>
              <w:szCs w:val="16"/>
            </w:rPr>
          </w:pPr>
          <w:r>
            <w:rPr>
              <w:b/>
              <w:color w:val="999999"/>
              <w:sz w:val="16"/>
              <w:szCs w:val="16"/>
            </w:rPr>
            <w:t>Návrh střednědobého výhledu státního rozpočtu na léta</w:t>
          </w:r>
          <w:r w:rsidRPr="00DC6329">
            <w:rPr>
              <w:b/>
              <w:color w:val="999999"/>
              <w:sz w:val="16"/>
              <w:szCs w:val="16"/>
            </w:rPr>
            <w:t xml:space="preserve"> 202</w:t>
          </w:r>
          <w:r>
            <w:rPr>
              <w:b/>
              <w:color w:val="999999"/>
              <w:sz w:val="16"/>
              <w:szCs w:val="16"/>
            </w:rPr>
            <w:t>6 a 2027</w:t>
          </w:r>
          <w:r w:rsidRPr="0017797C">
            <w:rPr>
              <w:b/>
              <w:noProof/>
              <w:color w:val="999999"/>
              <w:sz w:val="16"/>
              <w:szCs w:val="16"/>
            </w:rPr>
            <w:t xml:space="preserve"> </w:t>
          </w:r>
        </w:p>
      </w:tc>
      <w:tc>
        <w:tcPr>
          <w:tcW w:w="970" w:type="pct"/>
          <w:shd w:val="clear" w:color="auto" w:fill="auto"/>
          <w:vAlign w:val="center"/>
        </w:tcPr>
        <w:p w:rsidR="00335C2C" w:rsidRPr="006E3BB6" w:rsidRDefault="00335C2C" w:rsidP="005237E6">
          <w:pPr>
            <w:spacing w:after="0"/>
            <w:rPr>
              <w:rStyle w:val="slostrnky"/>
              <w:sz w:val="32"/>
            </w:rPr>
          </w:pPr>
          <w:r w:rsidRPr="00175F17">
            <w:rPr>
              <w:rStyle w:val="slostrnky"/>
              <w:sz w:val="32"/>
              <w:szCs w:val="32"/>
            </w:rPr>
            <w:fldChar w:fldCharType="begin"/>
          </w:r>
          <w:r w:rsidRPr="00175F17">
            <w:rPr>
              <w:rStyle w:val="slostrnky"/>
              <w:sz w:val="32"/>
              <w:szCs w:val="32"/>
            </w:rPr>
            <w:instrText xml:space="preserve"> PAGE </w:instrText>
          </w:r>
          <w:r w:rsidRPr="00175F17">
            <w:rPr>
              <w:rStyle w:val="slostrnky"/>
              <w:sz w:val="32"/>
              <w:szCs w:val="32"/>
            </w:rPr>
            <w:fldChar w:fldCharType="separate"/>
          </w:r>
          <w:r w:rsidR="00010FD9">
            <w:rPr>
              <w:rStyle w:val="slostrnky"/>
              <w:noProof/>
              <w:sz w:val="32"/>
              <w:szCs w:val="32"/>
            </w:rPr>
            <w:t>21</w:t>
          </w:r>
          <w:r w:rsidRPr="00175F17">
            <w:rPr>
              <w:rStyle w:val="slostrnky"/>
              <w:sz w:val="32"/>
              <w:szCs w:val="32"/>
            </w:rPr>
            <w:fldChar w:fldCharType="end"/>
          </w:r>
        </w:p>
      </w:tc>
    </w:tr>
  </w:tbl>
  <w:p w:rsidR="00335C2C" w:rsidRPr="00A12A05" w:rsidRDefault="00335C2C" w:rsidP="007A1923">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vertAnchor="text" w:horzAnchor="page" w:tblpX="568" w:tblpY="1"/>
      <w:tblOverlap w:val="never"/>
      <w:tblW w:w="1730" w:type="pct"/>
      <w:tblBorders>
        <w:top w:val="single" w:sz="2" w:space="0" w:color="FFFFFF"/>
        <w:left w:val="single" w:sz="2" w:space="0" w:color="FFFFFF"/>
        <w:bottom w:val="single" w:sz="2" w:space="0" w:color="FFFFFF"/>
        <w:right w:val="single" w:sz="2" w:space="0" w:color="FFFFFF"/>
        <w:insideH w:val="single" w:sz="12" w:space="0" w:color="999999"/>
        <w:insideV w:val="single" w:sz="12" w:space="0" w:color="999999"/>
      </w:tblBorders>
      <w:tblLook w:val="01E0" w:firstRow="1" w:lastRow="1" w:firstColumn="1" w:lastColumn="1" w:noHBand="0" w:noVBand="0"/>
    </w:tblPr>
    <w:tblGrid>
      <w:gridCol w:w="633"/>
      <w:gridCol w:w="2700"/>
    </w:tblGrid>
    <w:tr w:rsidR="00335C2C" w:rsidRPr="00175F17" w:rsidTr="007A1923">
      <w:trPr>
        <w:cantSplit/>
      </w:trPr>
      <w:tc>
        <w:tcPr>
          <w:tcW w:w="950" w:type="pct"/>
          <w:shd w:val="clear" w:color="auto" w:fill="auto"/>
          <w:vAlign w:val="center"/>
        </w:tcPr>
        <w:p w:rsidR="00335C2C" w:rsidRPr="00175F17" w:rsidRDefault="00335C2C" w:rsidP="007A1923">
          <w:pPr>
            <w:spacing w:after="0"/>
            <w:jc w:val="right"/>
            <w:rPr>
              <w:color w:val="999999"/>
              <w:sz w:val="16"/>
              <w:szCs w:val="16"/>
            </w:rPr>
          </w:pPr>
          <w:r>
            <w:rPr>
              <w:rStyle w:val="slostrnky"/>
              <w:sz w:val="32"/>
              <w:szCs w:val="32"/>
            </w:rPr>
            <w:fldChar w:fldCharType="begin"/>
          </w:r>
          <w:r>
            <w:rPr>
              <w:rStyle w:val="slostrnky"/>
              <w:sz w:val="32"/>
              <w:szCs w:val="32"/>
            </w:rPr>
            <w:instrText xml:space="preserve"> PAGE  </w:instrText>
          </w:r>
          <w:r>
            <w:rPr>
              <w:rStyle w:val="slostrnky"/>
              <w:sz w:val="32"/>
              <w:szCs w:val="32"/>
            </w:rPr>
            <w:fldChar w:fldCharType="separate"/>
          </w:r>
          <w:r>
            <w:rPr>
              <w:rStyle w:val="slostrnky"/>
              <w:noProof/>
              <w:sz w:val="32"/>
              <w:szCs w:val="32"/>
            </w:rPr>
            <w:t>8</w:t>
          </w:r>
          <w:r>
            <w:rPr>
              <w:rStyle w:val="slostrnky"/>
              <w:sz w:val="32"/>
              <w:szCs w:val="32"/>
            </w:rPr>
            <w:fldChar w:fldCharType="end"/>
          </w:r>
        </w:p>
      </w:tc>
      <w:tc>
        <w:tcPr>
          <w:tcW w:w="4050" w:type="pct"/>
          <w:shd w:val="clear" w:color="auto" w:fill="auto"/>
          <w:vAlign w:val="center"/>
        </w:tcPr>
        <w:p w:rsidR="00335C2C" w:rsidRPr="00175F17" w:rsidRDefault="00335C2C" w:rsidP="007A1923">
          <w:pPr>
            <w:suppressAutoHyphens/>
            <w:spacing w:after="0"/>
            <w:jc w:val="left"/>
            <w:rPr>
              <w:color w:val="999999"/>
              <w:sz w:val="32"/>
              <w:szCs w:val="32"/>
            </w:rPr>
          </w:pPr>
          <w:r w:rsidRPr="0017797C">
            <w:rPr>
              <w:b/>
              <w:color w:val="999999"/>
              <w:sz w:val="16"/>
              <w:szCs w:val="16"/>
            </w:rPr>
            <w:t>Zpráva ke státnímu rozpočtu České republiky na rok 2019</w:t>
          </w:r>
        </w:p>
      </w:tc>
    </w:tr>
  </w:tbl>
  <w:p w:rsidR="00335C2C" w:rsidRPr="00A12A05" w:rsidRDefault="00335C2C" w:rsidP="007A1923">
    <w:pPr>
      <w:pStyle w:val="Zpat"/>
    </w:pPr>
  </w:p>
  <w:p w:rsidR="00335C2C" w:rsidRDefault="00335C2C"/>
  <w:p w:rsidR="00335C2C" w:rsidRDefault="00335C2C"/>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vertAnchor="text" w:horzAnchor="page" w:tblpX="568" w:tblpY="1"/>
      <w:tblOverlap w:val="never"/>
      <w:tblW w:w="1730" w:type="pct"/>
      <w:tblBorders>
        <w:top w:val="single" w:sz="2" w:space="0" w:color="FFFFFF"/>
        <w:left w:val="single" w:sz="2" w:space="0" w:color="FFFFFF"/>
        <w:bottom w:val="single" w:sz="2" w:space="0" w:color="FFFFFF"/>
        <w:right w:val="single" w:sz="2" w:space="0" w:color="FFFFFF"/>
        <w:insideH w:val="single" w:sz="12" w:space="0" w:color="999999"/>
        <w:insideV w:val="single" w:sz="12" w:space="0" w:color="999999"/>
      </w:tblBorders>
      <w:tblLook w:val="01E0" w:firstRow="1" w:lastRow="1" w:firstColumn="1" w:lastColumn="1" w:noHBand="0" w:noVBand="0"/>
    </w:tblPr>
    <w:tblGrid>
      <w:gridCol w:w="633"/>
      <w:gridCol w:w="2700"/>
    </w:tblGrid>
    <w:tr w:rsidR="00335C2C" w:rsidRPr="00175F17" w:rsidTr="007A1923">
      <w:trPr>
        <w:cantSplit/>
      </w:trPr>
      <w:tc>
        <w:tcPr>
          <w:tcW w:w="950" w:type="pct"/>
          <w:shd w:val="clear" w:color="auto" w:fill="auto"/>
          <w:vAlign w:val="center"/>
        </w:tcPr>
        <w:p w:rsidR="00335C2C" w:rsidRPr="00175F17" w:rsidRDefault="00335C2C" w:rsidP="007A1923">
          <w:pPr>
            <w:spacing w:after="0"/>
            <w:jc w:val="right"/>
            <w:rPr>
              <w:color w:val="999999"/>
              <w:sz w:val="16"/>
              <w:szCs w:val="16"/>
            </w:rPr>
          </w:pPr>
          <w:r>
            <w:rPr>
              <w:rStyle w:val="slostrnky"/>
              <w:sz w:val="32"/>
              <w:szCs w:val="32"/>
            </w:rPr>
            <w:fldChar w:fldCharType="begin"/>
          </w:r>
          <w:r>
            <w:rPr>
              <w:rStyle w:val="slostrnky"/>
              <w:sz w:val="32"/>
              <w:szCs w:val="32"/>
            </w:rPr>
            <w:instrText xml:space="preserve"> PAGE  </w:instrText>
          </w:r>
          <w:r>
            <w:rPr>
              <w:rStyle w:val="slostrnky"/>
              <w:sz w:val="32"/>
              <w:szCs w:val="32"/>
            </w:rPr>
            <w:fldChar w:fldCharType="separate"/>
          </w:r>
          <w:r>
            <w:rPr>
              <w:rStyle w:val="slostrnky"/>
              <w:noProof/>
              <w:sz w:val="32"/>
              <w:szCs w:val="32"/>
            </w:rPr>
            <w:t>8</w:t>
          </w:r>
          <w:r>
            <w:rPr>
              <w:rStyle w:val="slostrnky"/>
              <w:sz w:val="32"/>
              <w:szCs w:val="32"/>
            </w:rPr>
            <w:fldChar w:fldCharType="end"/>
          </w:r>
        </w:p>
      </w:tc>
      <w:tc>
        <w:tcPr>
          <w:tcW w:w="4050" w:type="pct"/>
          <w:shd w:val="clear" w:color="auto" w:fill="auto"/>
          <w:vAlign w:val="center"/>
        </w:tcPr>
        <w:p w:rsidR="00335C2C" w:rsidRPr="00175F17" w:rsidRDefault="00335C2C" w:rsidP="007A1923">
          <w:pPr>
            <w:suppressAutoHyphens/>
            <w:spacing w:after="0"/>
            <w:jc w:val="left"/>
            <w:rPr>
              <w:color w:val="999999"/>
              <w:sz w:val="32"/>
              <w:szCs w:val="32"/>
            </w:rPr>
          </w:pPr>
          <w:r w:rsidRPr="0017797C">
            <w:rPr>
              <w:b/>
              <w:color w:val="999999"/>
              <w:sz w:val="16"/>
              <w:szCs w:val="16"/>
            </w:rPr>
            <w:t>Zpráva ke státnímu rozpočtu České republiky na rok 2019</w:t>
          </w:r>
        </w:p>
      </w:tc>
    </w:tr>
  </w:tbl>
  <w:p w:rsidR="00335C2C" w:rsidRPr="00A12A05" w:rsidRDefault="00335C2C" w:rsidP="007A1923">
    <w:pPr>
      <w:pStyle w:val="Zpat"/>
    </w:pPr>
  </w:p>
  <w:p w:rsidR="00335C2C" w:rsidRDefault="00335C2C"/>
  <w:p w:rsidR="00335C2C" w:rsidRDefault="00335C2C"/>
  <w:p w:rsidR="00335C2C" w:rsidRDefault="00335C2C"/>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vertAnchor="text" w:horzAnchor="page" w:tblpX="568" w:tblpY="1"/>
      <w:tblOverlap w:val="never"/>
      <w:tblW w:w="1730" w:type="pct"/>
      <w:tblBorders>
        <w:top w:val="single" w:sz="2" w:space="0" w:color="FFFFFF"/>
        <w:left w:val="single" w:sz="2" w:space="0" w:color="FFFFFF"/>
        <w:bottom w:val="single" w:sz="2" w:space="0" w:color="FFFFFF"/>
        <w:right w:val="single" w:sz="2" w:space="0" w:color="FFFFFF"/>
        <w:insideH w:val="single" w:sz="12" w:space="0" w:color="999999"/>
        <w:insideV w:val="single" w:sz="12" w:space="0" w:color="999999"/>
      </w:tblBorders>
      <w:tblLook w:val="01E0" w:firstRow="1" w:lastRow="1" w:firstColumn="1" w:lastColumn="1" w:noHBand="0" w:noVBand="0"/>
    </w:tblPr>
    <w:tblGrid>
      <w:gridCol w:w="633"/>
      <w:gridCol w:w="2700"/>
    </w:tblGrid>
    <w:tr w:rsidR="00335C2C" w:rsidRPr="00175F17" w:rsidTr="007A1923">
      <w:trPr>
        <w:cantSplit/>
      </w:trPr>
      <w:tc>
        <w:tcPr>
          <w:tcW w:w="950" w:type="pct"/>
          <w:shd w:val="clear" w:color="auto" w:fill="auto"/>
          <w:vAlign w:val="center"/>
        </w:tcPr>
        <w:p w:rsidR="00335C2C" w:rsidRPr="00175F17" w:rsidRDefault="00335C2C" w:rsidP="007A1923">
          <w:pPr>
            <w:spacing w:after="0"/>
            <w:jc w:val="right"/>
            <w:rPr>
              <w:color w:val="999999"/>
              <w:sz w:val="16"/>
              <w:szCs w:val="16"/>
            </w:rPr>
          </w:pPr>
          <w:r>
            <w:rPr>
              <w:rStyle w:val="slostrnky"/>
              <w:sz w:val="32"/>
              <w:szCs w:val="32"/>
            </w:rPr>
            <w:fldChar w:fldCharType="begin"/>
          </w:r>
          <w:r>
            <w:rPr>
              <w:rStyle w:val="slostrnky"/>
              <w:sz w:val="32"/>
              <w:szCs w:val="32"/>
            </w:rPr>
            <w:instrText xml:space="preserve"> PAGE  </w:instrText>
          </w:r>
          <w:r>
            <w:rPr>
              <w:rStyle w:val="slostrnky"/>
              <w:sz w:val="32"/>
              <w:szCs w:val="32"/>
            </w:rPr>
            <w:fldChar w:fldCharType="separate"/>
          </w:r>
          <w:r>
            <w:rPr>
              <w:rStyle w:val="slostrnky"/>
              <w:noProof/>
              <w:sz w:val="32"/>
              <w:szCs w:val="32"/>
            </w:rPr>
            <w:t>8</w:t>
          </w:r>
          <w:r>
            <w:rPr>
              <w:rStyle w:val="slostrnky"/>
              <w:sz w:val="32"/>
              <w:szCs w:val="32"/>
            </w:rPr>
            <w:fldChar w:fldCharType="end"/>
          </w:r>
        </w:p>
      </w:tc>
      <w:tc>
        <w:tcPr>
          <w:tcW w:w="4050" w:type="pct"/>
          <w:shd w:val="clear" w:color="auto" w:fill="auto"/>
          <w:vAlign w:val="center"/>
        </w:tcPr>
        <w:p w:rsidR="00335C2C" w:rsidRPr="00175F17" w:rsidRDefault="00335C2C" w:rsidP="007A1923">
          <w:pPr>
            <w:suppressAutoHyphens/>
            <w:spacing w:after="0"/>
            <w:jc w:val="left"/>
            <w:rPr>
              <w:color w:val="999999"/>
              <w:sz w:val="32"/>
              <w:szCs w:val="32"/>
            </w:rPr>
          </w:pPr>
          <w:r w:rsidRPr="0017797C">
            <w:rPr>
              <w:b/>
              <w:color w:val="999999"/>
              <w:sz w:val="16"/>
              <w:szCs w:val="16"/>
            </w:rPr>
            <w:t>Zpráva ke státnímu rozpočtu České republiky na rok 2019</w:t>
          </w:r>
        </w:p>
      </w:tc>
    </w:tr>
  </w:tbl>
  <w:p w:rsidR="00335C2C" w:rsidRPr="00A12A05" w:rsidRDefault="00335C2C" w:rsidP="007A1923">
    <w:pPr>
      <w:pStyle w:val="Zpat"/>
    </w:pPr>
  </w:p>
  <w:p w:rsidR="00335C2C" w:rsidRDefault="00335C2C"/>
  <w:p w:rsidR="00335C2C" w:rsidRDefault="00335C2C"/>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5C2C" w:rsidRPr="00A12A05" w:rsidRDefault="00335C2C" w:rsidP="007A1923">
    <w:pPr>
      <w:pStyle w:val="Zpat"/>
    </w:pPr>
    <w:r>
      <w:rPr>
        <w:noProof/>
        <w:lang w:val="en-US" w:eastAsia="en-US"/>
      </w:rPr>
      <mc:AlternateContent>
        <mc:Choice Requires="wps">
          <w:drawing>
            <wp:anchor distT="0" distB="0" distL="114300" distR="114300" simplePos="0" relativeHeight="251661312" behindDoc="0" locked="0" layoutInCell="1" allowOverlap="1" wp14:anchorId="581F196A" wp14:editId="3C1EE2BB">
              <wp:simplePos x="0" y="0"/>
              <wp:positionH relativeFrom="column">
                <wp:posOffset>-113665</wp:posOffset>
              </wp:positionH>
              <wp:positionV relativeFrom="paragraph">
                <wp:posOffset>-1175385</wp:posOffset>
              </wp:positionV>
              <wp:extent cx="2743200" cy="1257300"/>
              <wp:effectExtent l="0" t="0" r="0" b="0"/>
              <wp:wrapNone/>
              <wp:docPr id="9" name="Textové pol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257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35C2C" w:rsidRPr="000F3D4A" w:rsidRDefault="00335C2C" w:rsidP="007A1923">
                          <w:pPr>
                            <w:spacing w:after="0"/>
                            <w:jc w:val="left"/>
                            <w:rPr>
                              <w:b/>
                              <w:sz w:val="24"/>
                            </w:rPr>
                          </w:pPr>
                          <w:r w:rsidRPr="000F3D4A">
                            <w:rPr>
                              <w:b/>
                              <w:sz w:val="24"/>
                            </w:rPr>
                            <w:t>Ministerstvo financí České republiky</w:t>
                          </w:r>
                        </w:p>
                        <w:p w:rsidR="00335C2C" w:rsidRPr="000F3D4A" w:rsidRDefault="00335C2C" w:rsidP="007A1923">
                          <w:pPr>
                            <w:spacing w:after="0"/>
                            <w:jc w:val="left"/>
                            <w:rPr>
                              <w:sz w:val="24"/>
                            </w:rPr>
                          </w:pPr>
                          <w:r w:rsidRPr="000F3D4A">
                            <w:rPr>
                              <w:sz w:val="24"/>
                            </w:rPr>
                            <w:t>Letenská 15</w:t>
                          </w:r>
                        </w:p>
                        <w:p w:rsidR="00335C2C" w:rsidRPr="000F3D4A" w:rsidRDefault="00335C2C" w:rsidP="007A1923">
                          <w:pPr>
                            <w:spacing w:after="0"/>
                            <w:jc w:val="left"/>
                            <w:rPr>
                              <w:sz w:val="24"/>
                            </w:rPr>
                          </w:pPr>
                          <w:r w:rsidRPr="000F3D4A">
                            <w:rPr>
                              <w:sz w:val="24"/>
                            </w:rPr>
                            <w:t>118 10 Praha 1</w:t>
                          </w:r>
                        </w:p>
                        <w:p w:rsidR="00335C2C" w:rsidRPr="000F3D4A" w:rsidRDefault="00335C2C" w:rsidP="007A1923">
                          <w:pPr>
                            <w:spacing w:before="240" w:after="0"/>
                            <w:rPr>
                              <w:sz w:val="24"/>
                            </w:rPr>
                          </w:pPr>
                          <w:r w:rsidRPr="000F3D4A">
                            <w:rPr>
                              <w:sz w:val="24"/>
                            </w:rPr>
                            <w:t>http://www.mfcr.cz</w:t>
                          </w:r>
                        </w:p>
                      </w:txbxContent>
                    </wps:txbx>
                    <wps:bodyPr rot="0" vert="horz" wrap="square" lIns="91440" tIns="9000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1F196A" id="_x0000_t202" coordsize="21600,21600" o:spt="202" path="m,l,21600r21600,l21600,xe">
              <v:stroke joinstyle="miter"/>
              <v:path gradientshapeok="t" o:connecttype="rect"/>
            </v:shapetype>
            <v:shape id="Textové pole 9" o:spid="_x0000_s1026" type="#_x0000_t202" style="position:absolute;left:0;text-align:left;margin-left:-8.95pt;margin-top:-92.55pt;width:3in;height:9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" filled="f" stroked="f">
              <v:textbox inset=",2.5mm,,0">
                <w:txbxContent>
                  <w:p w:rsidR="00335C2C" w:rsidRPr="000F3D4A" w:rsidRDefault="00335C2C" w:rsidP="007A1923">
                    <w:pPr>
                      <w:spacing w:after="0"/>
                      <w:jc w:val="left"/>
                      <w:rPr>
                        <w:b/>
                        <w:sz w:val="24"/>
                      </w:rPr>
                    </w:pPr>
                    <w:r w:rsidRPr="000F3D4A">
                      <w:rPr>
                        <w:b/>
                        <w:sz w:val="24"/>
                      </w:rPr>
                      <w:t>Ministerstvo financí České republiky</w:t>
                    </w:r>
                  </w:p>
                  <w:p w:rsidR="00335C2C" w:rsidRPr="000F3D4A" w:rsidRDefault="00335C2C" w:rsidP="007A1923">
                    <w:pPr>
                      <w:spacing w:after="0"/>
                      <w:jc w:val="left"/>
                      <w:rPr>
                        <w:sz w:val="24"/>
                      </w:rPr>
                    </w:pPr>
                    <w:r w:rsidRPr="000F3D4A">
                      <w:rPr>
                        <w:sz w:val="24"/>
                      </w:rPr>
                      <w:t>Letenská 15</w:t>
                    </w:r>
                  </w:p>
                  <w:p w:rsidR="00335C2C" w:rsidRPr="000F3D4A" w:rsidRDefault="00335C2C" w:rsidP="007A1923">
                    <w:pPr>
                      <w:spacing w:after="0"/>
                      <w:jc w:val="left"/>
                      <w:rPr>
                        <w:sz w:val="24"/>
                      </w:rPr>
                    </w:pPr>
                    <w:r w:rsidRPr="000F3D4A">
                      <w:rPr>
                        <w:sz w:val="24"/>
                      </w:rPr>
                      <w:t>118 10 Praha 1</w:t>
                    </w:r>
                  </w:p>
                  <w:p w:rsidR="00335C2C" w:rsidRPr="000F3D4A" w:rsidRDefault="00335C2C" w:rsidP="007A1923">
                    <w:pPr>
                      <w:spacing w:before="240" w:after="0"/>
                      <w:rPr>
                        <w:sz w:val="24"/>
                      </w:rPr>
                    </w:pPr>
                    <w:r w:rsidRPr="000F3D4A">
                      <w:rPr>
                        <w:sz w:val="24"/>
                      </w:rPr>
                      <w:t>http://www.mfcr.cz</w:t>
                    </w:r>
                  </w:p>
                </w:txbxContent>
              </v:textbox>
            </v:shape>
          </w:pict>
        </mc:Fallback>
      </mc:AlternateContent>
    </w:r>
    <w:r>
      <w:rPr>
        <w:noProof/>
        <w:lang w:val="en-US" w:eastAsia="en-US"/>
      </w:rPr>
      <mc:AlternateContent>
        <mc:Choice Requires="wpg">
          <w:drawing>
            <wp:anchor distT="0" distB="0" distL="114300" distR="114300" simplePos="0" relativeHeight="251660288" behindDoc="1" locked="0" layoutInCell="1" allowOverlap="1" wp14:anchorId="07ECF701" wp14:editId="28CC9763">
              <wp:simplePos x="0" y="0"/>
              <wp:positionH relativeFrom="column">
                <wp:posOffset>4572000</wp:posOffset>
              </wp:positionH>
              <wp:positionV relativeFrom="paragraph">
                <wp:posOffset>-10036175</wp:posOffset>
              </wp:positionV>
              <wp:extent cx="2352040" cy="10756265"/>
              <wp:effectExtent l="0" t="3175" r="635" b="3810"/>
              <wp:wrapNone/>
              <wp:docPr id="18" name="Skupina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52040" cy="10756265"/>
                        <a:chOff x="8334" y="-41"/>
                        <a:chExt cx="3704" cy="16939"/>
                      </a:xfrm>
                    </wpg:grpSpPr>
                    <wps:wsp>
                      <wps:cNvPr id="19" name="Rectangle 25" descr="BlueBar"/>
                      <wps:cNvSpPr>
                        <a:spLocks noChangeAspect="1" noChangeArrowheads="1"/>
                      </wps:cNvSpPr>
                      <wps:spPr bwMode="auto">
                        <a:xfrm rot="5400000">
                          <a:off x="1674" y="6619"/>
                          <a:ext cx="16920" cy="3600"/>
                        </a:xfrm>
                        <a:prstGeom prst="rect">
                          <a:avLst/>
                        </a:prstGeom>
                        <a:gradFill rotWithShape="1">
                          <a:gsLst>
                            <a:gs pos="0">
                              <a:srgbClr val="995979"/>
                            </a:gs>
                            <a:gs pos="100000">
                              <a:srgbClr val="995979">
                                <a:gamma/>
                                <a:tint val="20000"/>
                                <a:invGamma/>
                              </a:srgbClr>
                            </a:gs>
                          </a:gsLst>
                          <a:lin ang="5400000" scaled="1"/>
                        </a:gra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Text Box 26"/>
                      <wps:cNvSpPr txBox="1">
                        <a:spLocks noChangeAspect="1" noChangeArrowheads="1"/>
                      </wps:cNvSpPr>
                      <wps:spPr bwMode="auto">
                        <a:xfrm>
                          <a:off x="8798" y="-22"/>
                          <a:ext cx="3240" cy="16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35C2C" w:rsidRPr="006F476A" w:rsidRDefault="00335C2C" w:rsidP="007A1923">
                            <w:pPr>
                              <w:rPr>
                                <w:color w:val="FFFFFF"/>
                              </w:rPr>
                            </w:pP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 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p>
                        </w:txbxContent>
                      </wps:txbx>
                      <wps:bodyPr rot="0" vert="vert" wrap="square" lIns="9000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ECF701" id="Skupina 18" o:spid="_x0000_s1027" style="position:absolute;left:0;text-align:left;margin-left:5in;margin-top:-790.25pt;width:185.2pt;height:846.95pt;z-index:-251656192" coordorigin="8334,-41" coordsize="3704,169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">
              <v:rect id="Rectangle 25" o:spid="_x0000_s1028" alt="BlueBar" style="position:absolute;left:1674;top:6619;width:16920;height:360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" fillcolor="#995979" stroked="f">
                <v:fill color2="#ebdee4" rotate="t" focus="100%" type="gradient"/>
                <o:lock v:ext="edit" aspectratio="t"/>
              </v:rect>
              <v:shape id="Text Box 26" o:spid="_x0000_s1029" type="#_x0000_t202" style="position:absolute;left:8798;top:-22;width:3240;height:16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" filled="f" stroked="f">
                <o:lock v:ext="edit" aspectratio="t"/>
                <v:textbox style="layout-flow:vertical" inset="2.5mm">
                  <w:txbxContent>
                    <w:p w:rsidR="00335C2C" w:rsidRPr="006F476A" w:rsidRDefault="00335C2C" w:rsidP="007A1923">
                      <w:pPr>
                        <w:rPr>
                          <w:color w:val="FFFFFF"/>
                        </w:rPr>
                      </w:pP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 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p>
                  </w:txbxContent>
                </v:textbox>
              </v:shape>
            </v:group>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5C2C" w:rsidRPr="00A12A05" w:rsidRDefault="00335C2C" w:rsidP="007A1923">
    <w:pPr>
      <w:pStyle w:val="Zpat"/>
    </w:pPr>
    <w:r>
      <w:rPr>
        <w:noProof/>
        <w:lang w:val="en-US" w:eastAsia="en-US"/>
      </w:rPr>
      <mc:AlternateContent>
        <mc:Choice Requires="wps">
          <w:drawing>
            <wp:anchor distT="0" distB="0" distL="114300" distR="114300" simplePos="0" relativeHeight="251658240" behindDoc="0" locked="0" layoutInCell="1" allowOverlap="1" wp14:anchorId="02CFC98B" wp14:editId="7873980F">
              <wp:simplePos x="0" y="0"/>
              <wp:positionH relativeFrom="column">
                <wp:posOffset>-113665</wp:posOffset>
              </wp:positionH>
              <wp:positionV relativeFrom="paragraph">
                <wp:posOffset>-1175385</wp:posOffset>
              </wp:positionV>
              <wp:extent cx="2743200" cy="1257300"/>
              <wp:effectExtent l="0" t="0" r="0" b="0"/>
              <wp:wrapNone/>
              <wp:docPr id="8" name="Textové pol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257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35C2C" w:rsidRPr="000F3D4A" w:rsidRDefault="00335C2C" w:rsidP="007A1923">
                          <w:pPr>
                            <w:spacing w:after="0"/>
                            <w:jc w:val="left"/>
                            <w:rPr>
                              <w:b/>
                              <w:sz w:val="24"/>
                            </w:rPr>
                          </w:pPr>
                          <w:r w:rsidRPr="000F3D4A">
                            <w:rPr>
                              <w:b/>
                              <w:sz w:val="24"/>
                            </w:rPr>
                            <w:t>Ministerstvo financí České republiky</w:t>
                          </w:r>
                        </w:p>
                        <w:p w:rsidR="00335C2C" w:rsidRPr="000F3D4A" w:rsidRDefault="00335C2C" w:rsidP="007A1923">
                          <w:pPr>
                            <w:spacing w:after="0"/>
                            <w:jc w:val="left"/>
                            <w:rPr>
                              <w:sz w:val="24"/>
                            </w:rPr>
                          </w:pPr>
                          <w:r w:rsidRPr="000F3D4A">
                            <w:rPr>
                              <w:sz w:val="24"/>
                            </w:rPr>
                            <w:t>Letenská 15</w:t>
                          </w:r>
                        </w:p>
                        <w:p w:rsidR="00335C2C" w:rsidRPr="000F3D4A" w:rsidRDefault="00335C2C" w:rsidP="007A1923">
                          <w:pPr>
                            <w:spacing w:after="0"/>
                            <w:jc w:val="left"/>
                            <w:rPr>
                              <w:sz w:val="24"/>
                            </w:rPr>
                          </w:pPr>
                          <w:r w:rsidRPr="000F3D4A">
                            <w:rPr>
                              <w:sz w:val="24"/>
                            </w:rPr>
                            <w:t>118 10 Praha 1</w:t>
                          </w:r>
                        </w:p>
                        <w:p w:rsidR="00335C2C" w:rsidRPr="000F3D4A" w:rsidRDefault="00335C2C" w:rsidP="007A1923">
                          <w:pPr>
                            <w:spacing w:before="240" w:after="0"/>
                            <w:rPr>
                              <w:sz w:val="24"/>
                            </w:rPr>
                          </w:pPr>
                          <w:r w:rsidRPr="000F3D4A">
                            <w:rPr>
                              <w:sz w:val="24"/>
                            </w:rPr>
                            <w:t>http://www.mfcr.cz</w:t>
                          </w:r>
                        </w:p>
                      </w:txbxContent>
                    </wps:txbx>
                    <wps:bodyPr rot="0" vert="horz" wrap="square" lIns="91440" tIns="9000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CFC98B" id="_x0000_t202" coordsize="21600,21600" o:spt="202" path="m,l,21600r21600,l21600,xe">
              <v:stroke joinstyle="miter"/>
              <v:path gradientshapeok="t" o:connecttype="rect"/>
            </v:shapetype>
            <v:shape id="Textové pole 8" o:spid="_x0000_s1030" type="#_x0000_t202" style="position:absolute;left:0;text-align:left;margin-left:-8.95pt;margin-top:-92.55pt;width:3in;height:9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" filled="f" stroked="f">
              <v:textbox inset=",2.5mm,,0">
                <w:txbxContent>
                  <w:p w:rsidR="00335C2C" w:rsidRPr="000F3D4A" w:rsidRDefault="00335C2C" w:rsidP="007A1923">
                    <w:pPr>
                      <w:spacing w:after="0"/>
                      <w:jc w:val="left"/>
                      <w:rPr>
                        <w:b/>
                        <w:sz w:val="24"/>
                      </w:rPr>
                    </w:pPr>
                    <w:r w:rsidRPr="000F3D4A">
                      <w:rPr>
                        <w:b/>
                        <w:sz w:val="24"/>
                      </w:rPr>
                      <w:t>Ministerstvo financí České republiky</w:t>
                    </w:r>
                  </w:p>
                  <w:p w:rsidR="00335C2C" w:rsidRPr="000F3D4A" w:rsidRDefault="00335C2C" w:rsidP="007A1923">
                    <w:pPr>
                      <w:spacing w:after="0"/>
                      <w:jc w:val="left"/>
                      <w:rPr>
                        <w:sz w:val="24"/>
                      </w:rPr>
                    </w:pPr>
                    <w:r w:rsidRPr="000F3D4A">
                      <w:rPr>
                        <w:sz w:val="24"/>
                      </w:rPr>
                      <w:t>Letenská 15</w:t>
                    </w:r>
                  </w:p>
                  <w:p w:rsidR="00335C2C" w:rsidRPr="000F3D4A" w:rsidRDefault="00335C2C" w:rsidP="007A1923">
                    <w:pPr>
                      <w:spacing w:after="0"/>
                      <w:jc w:val="left"/>
                      <w:rPr>
                        <w:sz w:val="24"/>
                      </w:rPr>
                    </w:pPr>
                    <w:r w:rsidRPr="000F3D4A">
                      <w:rPr>
                        <w:sz w:val="24"/>
                      </w:rPr>
                      <w:t>118 10 Praha 1</w:t>
                    </w:r>
                  </w:p>
                  <w:p w:rsidR="00335C2C" w:rsidRPr="000F3D4A" w:rsidRDefault="00335C2C" w:rsidP="007A1923">
                    <w:pPr>
                      <w:spacing w:before="240" w:after="0"/>
                      <w:rPr>
                        <w:sz w:val="24"/>
                      </w:rPr>
                    </w:pPr>
                    <w:r w:rsidRPr="000F3D4A">
                      <w:rPr>
                        <w:sz w:val="24"/>
                      </w:rPr>
                      <w:t>http://www.mfcr.cz</w:t>
                    </w:r>
                  </w:p>
                </w:txbxContent>
              </v:textbox>
            </v:shape>
          </w:pict>
        </mc:Fallback>
      </mc:AlternateContent>
    </w:r>
    <w:r>
      <w:rPr>
        <w:noProof/>
        <w:lang w:val="en-US" w:eastAsia="en-US"/>
      </w:rPr>
      <mc:AlternateContent>
        <mc:Choice Requires="wpg">
          <w:drawing>
            <wp:anchor distT="0" distB="0" distL="114300" distR="114300" simplePos="0" relativeHeight="251656192" behindDoc="1" locked="0" layoutInCell="1" allowOverlap="1" wp14:anchorId="059D6AFF" wp14:editId="031E6047">
              <wp:simplePos x="0" y="0"/>
              <wp:positionH relativeFrom="column">
                <wp:posOffset>4572000</wp:posOffset>
              </wp:positionH>
              <wp:positionV relativeFrom="paragraph">
                <wp:posOffset>-10036175</wp:posOffset>
              </wp:positionV>
              <wp:extent cx="2352040" cy="10756265"/>
              <wp:effectExtent l="0" t="3175" r="635" b="3810"/>
              <wp:wrapNone/>
              <wp:docPr id="5" name="Skupina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52040" cy="10756265"/>
                        <a:chOff x="8334" y="-41"/>
                        <a:chExt cx="3704" cy="16939"/>
                      </a:xfrm>
                    </wpg:grpSpPr>
                    <wps:wsp>
                      <wps:cNvPr id="6" name="Rectangle 25" descr="BlueBar"/>
                      <wps:cNvSpPr>
                        <a:spLocks noChangeAspect="1" noChangeArrowheads="1"/>
                      </wps:cNvSpPr>
                      <wps:spPr bwMode="auto">
                        <a:xfrm rot="5400000">
                          <a:off x="1674" y="6619"/>
                          <a:ext cx="16920" cy="3600"/>
                        </a:xfrm>
                        <a:prstGeom prst="rect">
                          <a:avLst/>
                        </a:prstGeom>
                        <a:gradFill rotWithShape="1">
                          <a:gsLst>
                            <a:gs pos="0">
                              <a:srgbClr val="995979"/>
                            </a:gs>
                            <a:gs pos="100000">
                              <a:srgbClr val="995979">
                                <a:gamma/>
                                <a:tint val="20000"/>
                                <a:invGamma/>
                              </a:srgbClr>
                            </a:gs>
                          </a:gsLst>
                          <a:lin ang="5400000" scaled="1"/>
                        </a:gra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Text Box 26"/>
                      <wps:cNvSpPr txBox="1">
                        <a:spLocks noChangeAspect="1" noChangeArrowheads="1"/>
                      </wps:cNvSpPr>
                      <wps:spPr bwMode="auto">
                        <a:xfrm>
                          <a:off x="8798" y="-22"/>
                          <a:ext cx="3240" cy="16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35C2C" w:rsidRPr="006F476A" w:rsidRDefault="00335C2C" w:rsidP="007A1923">
                            <w:pPr>
                              <w:rPr>
                                <w:color w:val="FFFFFF"/>
                              </w:rPr>
                            </w:pP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 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p>
                        </w:txbxContent>
                      </wps:txbx>
                      <wps:bodyPr rot="0" vert="vert" wrap="square" lIns="9000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9D6AFF" id="Skupina 5" o:spid="_x0000_s1031" style="position:absolute;left:0;text-align:left;margin-left:5in;margin-top:-790.25pt;width:185.2pt;height:846.95pt;z-index:-251660288" coordorigin="8334,-41" coordsize="3704,169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">
              <v:rect id="Rectangle 25" o:spid="_x0000_s1032" alt="BlueBar" style="position:absolute;left:1674;top:6619;width:16920;height:360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" fillcolor="#995979" stroked="f">
                <v:fill color2="#ebdee4" rotate="t" focus="100%" type="gradient"/>
                <o:lock v:ext="edit" aspectratio="t"/>
              </v:rect>
              <v:shape id="Text Box 26" o:spid="_x0000_s1033" type="#_x0000_t202" style="position:absolute;left:8798;top:-22;width:3240;height:16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" filled="f" stroked="f">
                <o:lock v:ext="edit" aspectratio="t"/>
                <v:textbox style="layout-flow:vertical" inset="2.5mm">
                  <w:txbxContent>
                    <w:p w:rsidR="00335C2C" w:rsidRPr="006F476A" w:rsidRDefault="00335C2C" w:rsidP="007A1923">
                      <w:pPr>
                        <w:rPr>
                          <w:color w:val="FFFFFF"/>
                        </w:rPr>
                      </w:pP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 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r w:rsidRPr="002C30E3">
                        <w:rPr>
                          <w:color w:val="FFFFFF"/>
                        </w:rPr>
                        <w:t xml:space="preserve"> </w:t>
                      </w:r>
                      <w:r>
                        <w:rPr>
                          <w:color w:val="FFFFFF"/>
                        </w:rPr>
                        <w:t>východiska a priority návrhu státního rozpočtu, výdajový rámec</w:t>
                      </w:r>
                      <w:r w:rsidRPr="006F476A">
                        <w:rPr>
                          <w:color w:val="FFFFFF"/>
                        </w:rPr>
                        <w:t>,</w:t>
                      </w:r>
                      <w:r>
                        <w:rPr>
                          <w:color w:val="FFFFFF"/>
                        </w:rPr>
                        <w:t xml:space="preserve"> daňové a sociální příjmy, ostatní příjmy, mandatorní výdaje, kapitálové výdaje, běžné výdaje, finanční vztahy k rozpočtu EU a finančním mechanismům,</w:t>
                      </w:r>
                    </w:p>
                  </w:txbxContent>
                </v:textbox>
              </v:shap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5C2C" w:rsidRDefault="00335C2C" w:rsidP="00332D4D">
      <w:pPr>
        <w:spacing w:after="0"/>
      </w:pPr>
      <w:r>
        <w:separator/>
      </w:r>
    </w:p>
  </w:footnote>
  <w:footnote w:type="continuationSeparator" w:id="0">
    <w:p w:rsidR="00335C2C" w:rsidRDefault="00335C2C" w:rsidP="00332D4D">
      <w:pPr>
        <w:spacing w:after="0"/>
      </w:pPr>
      <w:r>
        <w:continuationSeparator/>
      </w:r>
    </w:p>
  </w:footnote>
  <w:footnote w:id="1">
    <w:p w:rsidR="00335C2C" w:rsidRDefault="00335C2C" w:rsidP="003F0E1B">
      <w:pPr>
        <w:pStyle w:val="Textpoznpodarou"/>
      </w:pPr>
      <w:r>
        <w:rPr>
          <w:rStyle w:val="Znakapoznpodarou"/>
        </w:rPr>
        <w:footnoteRef/>
      </w:r>
      <w:r>
        <w:t xml:space="preserve"> V rámci upraveného systému vlastních zdrojů na období 2021-2027 je snížen EU podíl na příjmech z cel na 75 % (oproti předchozím 80 % v období 2014-2020), zaveden je nový vlastní zdroj z nerecyklovaného plastového obalového odpadu (hrazený ze státního rozpočtu), pro vybrané členské státy (DE, DK, AT, SE, NL) jsou aplikovány (významné) paušální slevy na odvodech ze zdroje z HND, které musí hradit ostatní členské státy.</w:t>
      </w:r>
    </w:p>
  </w:footnote>
  <w:footnote w:id="2">
    <w:p w:rsidR="00335C2C" w:rsidRDefault="00335C2C" w:rsidP="003F0E1B">
      <w:pPr>
        <w:pStyle w:val="Textpoznpodarou"/>
      </w:pPr>
      <w:r>
        <w:rPr>
          <w:rStyle w:val="Znakapoznpodarou"/>
        </w:rPr>
        <w:footnoteRef/>
      </w:r>
      <w:r>
        <w:t xml:space="preserve"> </w:t>
      </w:r>
      <w:r w:rsidRPr="008A19FA">
        <w:t>Nařízení Rady (EU, Euratom) 2022/615 ze dne 5. dubna 2022, kterým se mění nařízení (EU, Euratom) č.</w:t>
      </w:r>
      <w:r>
        <w:t> </w:t>
      </w:r>
      <w:r w:rsidRPr="008A19FA">
        <w:t>609/2014 s cílem zvýšit předvídatelnost</w:t>
      </w:r>
      <w:r w:rsidRPr="00F02BB7">
        <w:t xml:space="preserve"> pro členské státy a vyjasnit postupy pro řešení neshod při poskytování tradičních vlastních zdrojů a vlastních zdrojů z DPH a HND</w:t>
      </w:r>
      <w:r>
        <w:t>.</w:t>
      </w:r>
    </w:p>
  </w:footnote>
  <w:footnote w:id="3">
    <w:p w:rsidR="00335C2C" w:rsidRDefault="00335C2C" w:rsidP="003F0E1B">
      <w:pPr>
        <w:pStyle w:val="Textpoznpodarou"/>
      </w:pPr>
      <w:r>
        <w:rPr>
          <w:rStyle w:val="Znakapoznpodarou"/>
        </w:rPr>
        <w:footnoteRef/>
      </w:r>
      <w:r>
        <w:t xml:space="preserve"> Vypořádání </w:t>
      </w:r>
      <w:r w:rsidRPr="000C41BB">
        <w:t>odvodů vlastního zdroje z nerecyklovaných plastových obalových odpadů</w:t>
      </w:r>
      <w:r>
        <w:t xml:space="preserve"> za rok 2023 (a tedy částka splatná ke dni 1. června 2024) Komise pro Českou republiku určila ve výši </w:t>
      </w:r>
      <w:r w:rsidRPr="000C41BB">
        <w:t>536,91</w:t>
      </w:r>
      <w:r>
        <w:t xml:space="preserve"> mil. Kč.</w:t>
      </w:r>
    </w:p>
  </w:footnote>
  <w:footnote w:id="4">
    <w:p w:rsidR="00335C2C" w:rsidRDefault="00335C2C" w:rsidP="00A94FF4">
      <w:pPr>
        <w:pStyle w:val="Textpoznpodarou"/>
      </w:pPr>
      <w:r>
        <w:rPr>
          <w:rStyle w:val="Znakapoznpodarou"/>
        </w:rPr>
        <w:footnoteRef/>
      </w:r>
      <w:r>
        <w:t xml:space="preserve"> Zbývajících cca 10-13 % příjmů tvoří příjmy z tradičních vlastních zdrojů (cel), které jsou do rozpočtu EU vybírány přímo, a ostatní vlastní příjmy (např. pokuty za porušení pravidel vnitřního trhu). Tyto příjmy nejsou financovány ze státního rozpočtu. </w:t>
      </w:r>
    </w:p>
  </w:footnote>
  <w:footnote w:id="5">
    <w:p w:rsidR="00335C2C" w:rsidRDefault="00335C2C" w:rsidP="00551806">
      <w:pPr>
        <w:pStyle w:val="Textpoznpodarou"/>
      </w:pPr>
      <w:r>
        <w:rPr>
          <w:rStyle w:val="Znakapoznpodarou"/>
        </w:rPr>
        <w:footnoteRef/>
      </w:r>
      <w:r>
        <w:t xml:space="preserve"> Přesná</w:t>
      </w:r>
      <w:r w:rsidRPr="00D03152">
        <w:t xml:space="preserve"> částka činí 47 781 697 EUR.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5C2C" w:rsidRPr="009778E2" w:rsidRDefault="00335C2C" w:rsidP="009778E2">
    <w:pPr>
      <w:jc w:val="right"/>
      <w:rPr>
        <w:sz w:val="24"/>
        <w:szCs w:val="24"/>
      </w:rPr>
    </w:pPr>
    <w:r w:rsidRPr="009778E2">
      <w:rPr>
        <w:sz w:val="24"/>
        <w:szCs w:val="24"/>
      </w:rPr>
      <w:t xml:space="preserve">Čj.: MF – </w:t>
    </w:r>
    <w:r>
      <w:rPr>
        <w:sz w:val="24"/>
        <w:szCs w:val="24"/>
      </w:rPr>
      <w:t>17534</w:t>
    </w:r>
    <w:r w:rsidRPr="009778E2">
      <w:rPr>
        <w:sz w:val="24"/>
        <w:szCs w:val="24"/>
      </w:rPr>
      <w:t>/202</w:t>
    </w:r>
    <w:r>
      <w:rPr>
        <w:sz w:val="24"/>
        <w:szCs w:val="24"/>
      </w:rPr>
      <w:t>4</w:t>
    </w:r>
    <w:r w:rsidRPr="009778E2">
      <w:rPr>
        <w:sz w:val="24"/>
        <w:szCs w:val="24"/>
      </w:rPr>
      <w:t>/2</w:t>
    </w:r>
    <w:r>
      <w:rPr>
        <w:sz w:val="24"/>
        <w:szCs w:val="24"/>
      </w:rPr>
      <w:t>104-4</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5C2C" w:rsidRDefault="00335C2C">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5C2C" w:rsidRDefault="00335C2C">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5C2C" w:rsidRDefault="00335C2C" w:rsidP="00343525"/>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5C2C" w:rsidRDefault="00335C2C" w:rsidP="00343525"/>
  <w:p w:rsidR="00335C2C" w:rsidRDefault="00335C2C"/>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5C2C" w:rsidRDefault="00335C2C" w:rsidP="00343525"/>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5C2C" w:rsidRDefault="00335C2C">
    <w:pPr>
      <w:pStyle w:val="Zhlav"/>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5C2C" w:rsidRDefault="00335C2C">
    <w:pPr>
      <w:pStyle w:val="Zhlav"/>
    </w:pPr>
  </w:p>
</w:hdr>
</file>

<file path=word/intelligence2.xml><?xml version="1.0" encoding="utf-8"?>
<int2:intelligence xmlns:int2="http://schemas.microsoft.com/office/intelligence/2020/intelligence">
  <int2:observations>
    <int2:textHash int2:hashCode="Mqb8uqRUPwcYB5" int2:id="Hqwuxc3n">
      <int2:state int2:type="AugLoop_Text_Critique" int2:value="Rejected"/>
    </int2:textHash>
    <int2:textHash int2:hashCode="fA0tSvd8w7iKef" int2:id="TwCVjN5V">
      <int2:state int2:type="AugLoop_Text_Critique" int2:value="Rejected"/>
    </int2:textHash>
    <int2:textHash int2:hashCode="4z21QbTjid6Fdn" int2:id="PfEk0QG7">
      <int2:state int2:type="AugLoop_Text_Critique" int2:value="Rejected"/>
    </int2:textHash>
    <int2:bookmark int2:bookmarkName="_Int_pTLOCAN3" int2:invalidationBookmarkName="" int2:hashCode="XrqlnWBNceqGFO" int2:id="EIF9AFjp">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C4895"/>
    <w:multiLevelType w:val="hybridMultilevel"/>
    <w:tmpl w:val="8C0E7A5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B04516C"/>
    <w:multiLevelType w:val="hybridMultilevel"/>
    <w:tmpl w:val="E21AB1F4"/>
    <w:lvl w:ilvl="0" w:tplc="63066626">
      <w:start w:val="1"/>
      <w:numFmt w:val="bullet"/>
      <w:pStyle w:val="SROdrka"/>
      <w:lvlText w:val=""/>
      <w:lvlJc w:val="left"/>
      <w:pPr>
        <w:tabs>
          <w:tab w:val="num" w:pos="170"/>
        </w:tabs>
        <w:ind w:left="1078" w:hanging="1078"/>
      </w:pPr>
      <w:rPr>
        <w:rFonts w:ascii="Symbol" w:hAnsi="Symbol" w:hint="default"/>
      </w:rPr>
    </w:lvl>
    <w:lvl w:ilvl="1" w:tplc="7DC8EA06">
      <w:start w:val="5"/>
      <w:numFmt w:val="upperLetter"/>
      <w:lvlText w:val="%2."/>
      <w:lvlJc w:val="left"/>
      <w:pPr>
        <w:tabs>
          <w:tab w:val="num" w:pos="1080"/>
        </w:tabs>
        <w:ind w:left="1080" w:hanging="360"/>
      </w:pPr>
      <w:rPr>
        <w:rFonts w:cs="Times New Roman" w:hint="default"/>
      </w:rPr>
    </w:lvl>
    <w:lvl w:ilvl="2" w:tplc="0405001B" w:tentative="1">
      <w:start w:val="1"/>
      <w:numFmt w:val="lowerRoman"/>
      <w:lvlText w:val="%3."/>
      <w:lvlJc w:val="right"/>
      <w:pPr>
        <w:tabs>
          <w:tab w:val="num" w:pos="1800"/>
        </w:tabs>
        <w:ind w:left="1800" w:hanging="180"/>
      </w:pPr>
      <w:rPr>
        <w:rFonts w:cs="Times New Roman"/>
      </w:rPr>
    </w:lvl>
    <w:lvl w:ilvl="3" w:tplc="0405000F" w:tentative="1">
      <w:start w:val="1"/>
      <w:numFmt w:val="decimal"/>
      <w:lvlText w:val="%4."/>
      <w:lvlJc w:val="left"/>
      <w:pPr>
        <w:tabs>
          <w:tab w:val="num" w:pos="2520"/>
        </w:tabs>
        <w:ind w:left="2520" w:hanging="360"/>
      </w:pPr>
      <w:rPr>
        <w:rFonts w:cs="Times New Roman"/>
      </w:rPr>
    </w:lvl>
    <w:lvl w:ilvl="4" w:tplc="04050019" w:tentative="1">
      <w:start w:val="1"/>
      <w:numFmt w:val="lowerLetter"/>
      <w:lvlText w:val="%5."/>
      <w:lvlJc w:val="left"/>
      <w:pPr>
        <w:tabs>
          <w:tab w:val="num" w:pos="3240"/>
        </w:tabs>
        <w:ind w:left="3240" w:hanging="360"/>
      </w:pPr>
      <w:rPr>
        <w:rFonts w:cs="Times New Roman"/>
      </w:rPr>
    </w:lvl>
    <w:lvl w:ilvl="5" w:tplc="0405001B" w:tentative="1">
      <w:start w:val="1"/>
      <w:numFmt w:val="lowerRoman"/>
      <w:lvlText w:val="%6."/>
      <w:lvlJc w:val="right"/>
      <w:pPr>
        <w:tabs>
          <w:tab w:val="num" w:pos="3960"/>
        </w:tabs>
        <w:ind w:left="3960" w:hanging="180"/>
      </w:pPr>
      <w:rPr>
        <w:rFonts w:cs="Times New Roman"/>
      </w:rPr>
    </w:lvl>
    <w:lvl w:ilvl="6" w:tplc="0405000F" w:tentative="1">
      <w:start w:val="1"/>
      <w:numFmt w:val="decimal"/>
      <w:lvlText w:val="%7."/>
      <w:lvlJc w:val="left"/>
      <w:pPr>
        <w:tabs>
          <w:tab w:val="num" w:pos="4680"/>
        </w:tabs>
        <w:ind w:left="4680" w:hanging="360"/>
      </w:pPr>
      <w:rPr>
        <w:rFonts w:cs="Times New Roman"/>
      </w:rPr>
    </w:lvl>
    <w:lvl w:ilvl="7" w:tplc="04050019" w:tentative="1">
      <w:start w:val="1"/>
      <w:numFmt w:val="lowerLetter"/>
      <w:lvlText w:val="%8."/>
      <w:lvlJc w:val="left"/>
      <w:pPr>
        <w:tabs>
          <w:tab w:val="num" w:pos="5400"/>
        </w:tabs>
        <w:ind w:left="5400" w:hanging="360"/>
      </w:pPr>
      <w:rPr>
        <w:rFonts w:cs="Times New Roman"/>
      </w:rPr>
    </w:lvl>
    <w:lvl w:ilvl="8" w:tplc="0405001B" w:tentative="1">
      <w:start w:val="1"/>
      <w:numFmt w:val="lowerRoman"/>
      <w:lvlText w:val="%9."/>
      <w:lvlJc w:val="right"/>
      <w:pPr>
        <w:tabs>
          <w:tab w:val="num" w:pos="6120"/>
        </w:tabs>
        <w:ind w:left="6120" w:hanging="180"/>
      </w:pPr>
      <w:rPr>
        <w:rFonts w:cs="Times New Roman"/>
      </w:rPr>
    </w:lvl>
  </w:abstractNum>
  <w:abstractNum w:abstractNumId="2" w15:restartNumberingAfterBreak="0">
    <w:nsid w:val="279E15A6"/>
    <w:multiLevelType w:val="multilevel"/>
    <w:tmpl w:val="95F421EA"/>
    <w:lvl w:ilvl="0">
      <w:start w:val="1"/>
      <w:numFmt w:val="decimal"/>
      <w:pStyle w:val="Nadpis1"/>
      <w:lvlText w:val="%1"/>
      <w:lvlJc w:val="left"/>
      <w:pPr>
        <w:tabs>
          <w:tab w:val="num" w:pos="6663"/>
        </w:tabs>
        <w:ind w:left="6663" w:hanging="567"/>
      </w:pPr>
      <w:rPr>
        <w:color w:val="auto"/>
      </w:rPr>
    </w:lvl>
    <w:lvl w:ilvl="1">
      <w:start w:val="1"/>
      <w:numFmt w:val="decimal"/>
      <w:pStyle w:val="Nadpis2"/>
      <w:lvlText w:val="%1.%2"/>
      <w:lvlJc w:val="left"/>
      <w:pPr>
        <w:tabs>
          <w:tab w:val="num" w:pos="2269"/>
        </w:tabs>
        <w:ind w:left="2269" w:hanging="567"/>
      </w:pPr>
      <w:rPr>
        <w:b/>
      </w:rPr>
    </w:lvl>
    <w:lvl w:ilvl="2">
      <w:start w:val="1"/>
      <w:numFmt w:val="decimal"/>
      <w:pStyle w:val="Nadpis3"/>
      <w:lvlText w:val="%1.%2.%3"/>
      <w:lvlJc w:val="left"/>
      <w:pPr>
        <w:tabs>
          <w:tab w:val="num" w:pos="1145"/>
        </w:tabs>
        <w:ind w:left="1145"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006"/>
        </w:tabs>
        <w:ind w:left="1006"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B0F094C"/>
    <w:multiLevelType w:val="hybridMultilevel"/>
    <w:tmpl w:val="47B44E68"/>
    <w:lvl w:ilvl="0" w:tplc="7CF2D48A">
      <w:start w:val="1"/>
      <w:numFmt w:val="bullet"/>
      <w:pStyle w:val="SRodrkanorma"/>
      <w:lvlText w:val=""/>
      <w:lvlJc w:val="left"/>
      <w:pPr>
        <w:ind w:left="2629"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5CC9639E"/>
    <w:multiLevelType w:val="multilevel"/>
    <w:tmpl w:val="DF30E1C8"/>
    <w:styleLink w:val="StylSodrkami"/>
    <w:lvl w:ilvl="0">
      <w:start w:val="1"/>
      <w:numFmt w:val="bullet"/>
      <w:lvlText w:val="−"/>
      <w:lvlJc w:val="left"/>
      <w:pPr>
        <w:tabs>
          <w:tab w:val="num" w:pos="720"/>
        </w:tabs>
        <w:ind w:left="720" w:hanging="360"/>
      </w:pPr>
      <w:rPr>
        <w:rFonts w:ascii="Calibri" w:hAnsi="Calibri"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E783B01"/>
    <w:multiLevelType w:val="hybridMultilevel"/>
    <w:tmpl w:val="CAD4AC9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6" w15:restartNumberingAfterBreak="0">
    <w:nsid w:val="7A014842"/>
    <w:multiLevelType w:val="multilevel"/>
    <w:tmpl w:val="5330EC4A"/>
    <w:lvl w:ilvl="0">
      <w:start w:val="1"/>
      <w:numFmt w:val="upperLetter"/>
      <w:pStyle w:val="NadpisAB"/>
      <w:lvlText w:val="%1"/>
      <w:lvlJc w:val="left"/>
      <w:pPr>
        <w:tabs>
          <w:tab w:val="num" w:pos="567"/>
        </w:tabs>
        <w:ind w:left="567" w:hanging="567"/>
      </w:pPr>
      <w:rPr>
        <w:rFonts w:ascii="Calibri" w:hAnsi="Calibri" w:hint="default"/>
        <w:color w:val="auto"/>
      </w:rPr>
    </w:lvl>
    <w:lvl w:ilvl="1">
      <w:start w:val="1"/>
      <w:numFmt w:val="decimal"/>
      <w:lvlText w:val="%1.%2"/>
      <w:lvlJc w:val="left"/>
      <w:pPr>
        <w:tabs>
          <w:tab w:val="num" w:pos="567"/>
        </w:tabs>
        <w:ind w:left="567" w:hanging="567"/>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
  </w:num>
  <w:num w:numId="2">
    <w:abstractNumId w:val="4"/>
  </w:num>
  <w:num w:numId="3">
    <w:abstractNumId w:val="6"/>
  </w:num>
  <w:num w:numId="4">
    <w:abstractNumId w:val="0"/>
  </w:num>
  <w:num w:numId="5">
    <w:abstractNumId w:val="1"/>
  </w:num>
  <w:num w:numId="6">
    <w:abstractNumId w:val="5"/>
  </w:num>
  <w:num w:numId="7">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autoHyphenation/>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D4D"/>
    <w:rsid w:val="000001CD"/>
    <w:rsid w:val="000034D3"/>
    <w:rsid w:val="00003D7E"/>
    <w:rsid w:val="00004F94"/>
    <w:rsid w:val="00005236"/>
    <w:rsid w:val="000066F3"/>
    <w:rsid w:val="00010FD9"/>
    <w:rsid w:val="00011469"/>
    <w:rsid w:val="0001286B"/>
    <w:rsid w:val="0001353D"/>
    <w:rsid w:val="00013910"/>
    <w:rsid w:val="00015E35"/>
    <w:rsid w:val="000237FD"/>
    <w:rsid w:val="00023AB1"/>
    <w:rsid w:val="0002447C"/>
    <w:rsid w:val="0002464D"/>
    <w:rsid w:val="00024BA5"/>
    <w:rsid w:val="00027B66"/>
    <w:rsid w:val="00027D0D"/>
    <w:rsid w:val="00031694"/>
    <w:rsid w:val="00032856"/>
    <w:rsid w:val="00032ED5"/>
    <w:rsid w:val="000333D5"/>
    <w:rsid w:val="00034DC0"/>
    <w:rsid w:val="000357B5"/>
    <w:rsid w:val="00036893"/>
    <w:rsid w:val="000368C0"/>
    <w:rsid w:val="00037618"/>
    <w:rsid w:val="000402C5"/>
    <w:rsid w:val="000406FC"/>
    <w:rsid w:val="000433CB"/>
    <w:rsid w:val="00044809"/>
    <w:rsid w:val="000449E0"/>
    <w:rsid w:val="00046A9E"/>
    <w:rsid w:val="00047EE4"/>
    <w:rsid w:val="000566A7"/>
    <w:rsid w:val="0005737B"/>
    <w:rsid w:val="00057C96"/>
    <w:rsid w:val="0006047A"/>
    <w:rsid w:val="0006144B"/>
    <w:rsid w:val="00061AEE"/>
    <w:rsid w:val="000620C3"/>
    <w:rsid w:val="00062D77"/>
    <w:rsid w:val="000634AE"/>
    <w:rsid w:val="00063765"/>
    <w:rsid w:val="000665F5"/>
    <w:rsid w:val="00067664"/>
    <w:rsid w:val="00070A44"/>
    <w:rsid w:val="00070F07"/>
    <w:rsid w:val="00071457"/>
    <w:rsid w:val="000718C8"/>
    <w:rsid w:val="00072AA9"/>
    <w:rsid w:val="00074DB9"/>
    <w:rsid w:val="00074F42"/>
    <w:rsid w:val="00075CB7"/>
    <w:rsid w:val="00076698"/>
    <w:rsid w:val="0007686F"/>
    <w:rsid w:val="0007702A"/>
    <w:rsid w:val="00077697"/>
    <w:rsid w:val="00077B3F"/>
    <w:rsid w:val="00080AAF"/>
    <w:rsid w:val="00081F8D"/>
    <w:rsid w:val="00082E8B"/>
    <w:rsid w:val="00084691"/>
    <w:rsid w:val="000864D0"/>
    <w:rsid w:val="0008755A"/>
    <w:rsid w:val="000875E6"/>
    <w:rsid w:val="00087D39"/>
    <w:rsid w:val="000942EC"/>
    <w:rsid w:val="00094ECB"/>
    <w:rsid w:val="00095938"/>
    <w:rsid w:val="00097F0D"/>
    <w:rsid w:val="000A0B4D"/>
    <w:rsid w:val="000A1261"/>
    <w:rsid w:val="000A1B1D"/>
    <w:rsid w:val="000A1CE1"/>
    <w:rsid w:val="000A1D05"/>
    <w:rsid w:val="000A209D"/>
    <w:rsid w:val="000A2367"/>
    <w:rsid w:val="000A257C"/>
    <w:rsid w:val="000A274A"/>
    <w:rsid w:val="000A2F3A"/>
    <w:rsid w:val="000A3736"/>
    <w:rsid w:val="000A41C3"/>
    <w:rsid w:val="000A4628"/>
    <w:rsid w:val="000A50EE"/>
    <w:rsid w:val="000A52C8"/>
    <w:rsid w:val="000A59A7"/>
    <w:rsid w:val="000A65EA"/>
    <w:rsid w:val="000A6E86"/>
    <w:rsid w:val="000A74B6"/>
    <w:rsid w:val="000A784F"/>
    <w:rsid w:val="000A7E1A"/>
    <w:rsid w:val="000B0BE7"/>
    <w:rsid w:val="000B110C"/>
    <w:rsid w:val="000B1718"/>
    <w:rsid w:val="000B3693"/>
    <w:rsid w:val="000B3CD5"/>
    <w:rsid w:val="000B4072"/>
    <w:rsid w:val="000B41D0"/>
    <w:rsid w:val="000B4BD8"/>
    <w:rsid w:val="000B5B41"/>
    <w:rsid w:val="000B61FA"/>
    <w:rsid w:val="000B6926"/>
    <w:rsid w:val="000B6E6A"/>
    <w:rsid w:val="000B79AD"/>
    <w:rsid w:val="000B7F15"/>
    <w:rsid w:val="000C0CF2"/>
    <w:rsid w:val="000C0E9C"/>
    <w:rsid w:val="000C1568"/>
    <w:rsid w:val="000C1863"/>
    <w:rsid w:val="000C2A67"/>
    <w:rsid w:val="000C32EF"/>
    <w:rsid w:val="000C5214"/>
    <w:rsid w:val="000C5716"/>
    <w:rsid w:val="000C58F1"/>
    <w:rsid w:val="000C666D"/>
    <w:rsid w:val="000C7200"/>
    <w:rsid w:val="000C7496"/>
    <w:rsid w:val="000C7D90"/>
    <w:rsid w:val="000C7EFC"/>
    <w:rsid w:val="000D0C68"/>
    <w:rsid w:val="000D0CD2"/>
    <w:rsid w:val="000D116A"/>
    <w:rsid w:val="000D1784"/>
    <w:rsid w:val="000D1A6F"/>
    <w:rsid w:val="000D1D85"/>
    <w:rsid w:val="000D2367"/>
    <w:rsid w:val="000D330C"/>
    <w:rsid w:val="000D4F71"/>
    <w:rsid w:val="000D5CE2"/>
    <w:rsid w:val="000E29BA"/>
    <w:rsid w:val="000E7624"/>
    <w:rsid w:val="000E7659"/>
    <w:rsid w:val="000E79C3"/>
    <w:rsid w:val="000F0FDA"/>
    <w:rsid w:val="000F1410"/>
    <w:rsid w:val="000F30B8"/>
    <w:rsid w:val="000F50F7"/>
    <w:rsid w:val="000F67A1"/>
    <w:rsid w:val="0010092B"/>
    <w:rsid w:val="00101A19"/>
    <w:rsid w:val="0010302E"/>
    <w:rsid w:val="00103315"/>
    <w:rsid w:val="00104BD9"/>
    <w:rsid w:val="00105C98"/>
    <w:rsid w:val="00111630"/>
    <w:rsid w:val="00112E99"/>
    <w:rsid w:val="00113697"/>
    <w:rsid w:val="00120A80"/>
    <w:rsid w:val="00120EEC"/>
    <w:rsid w:val="001213C4"/>
    <w:rsid w:val="001214C8"/>
    <w:rsid w:val="0012192C"/>
    <w:rsid w:val="001232F5"/>
    <w:rsid w:val="00126369"/>
    <w:rsid w:val="00126644"/>
    <w:rsid w:val="001303AE"/>
    <w:rsid w:val="00131656"/>
    <w:rsid w:val="00134756"/>
    <w:rsid w:val="00135439"/>
    <w:rsid w:val="001401BC"/>
    <w:rsid w:val="00140729"/>
    <w:rsid w:val="00144E9F"/>
    <w:rsid w:val="00145DF9"/>
    <w:rsid w:val="0014657C"/>
    <w:rsid w:val="00146C5B"/>
    <w:rsid w:val="001470C9"/>
    <w:rsid w:val="001473EC"/>
    <w:rsid w:val="0015200B"/>
    <w:rsid w:val="00152F18"/>
    <w:rsid w:val="00154657"/>
    <w:rsid w:val="001548D6"/>
    <w:rsid w:val="001556F5"/>
    <w:rsid w:val="00160671"/>
    <w:rsid w:val="00160FF9"/>
    <w:rsid w:val="001647F8"/>
    <w:rsid w:val="00165855"/>
    <w:rsid w:val="00167D45"/>
    <w:rsid w:val="001711DC"/>
    <w:rsid w:val="001716F8"/>
    <w:rsid w:val="00172271"/>
    <w:rsid w:val="001731D4"/>
    <w:rsid w:val="001773BF"/>
    <w:rsid w:val="00181A16"/>
    <w:rsid w:val="00182B91"/>
    <w:rsid w:val="00182FCD"/>
    <w:rsid w:val="00183A53"/>
    <w:rsid w:val="00183A72"/>
    <w:rsid w:val="00185380"/>
    <w:rsid w:val="00185BE4"/>
    <w:rsid w:val="001877E6"/>
    <w:rsid w:val="00191ECF"/>
    <w:rsid w:val="0019264E"/>
    <w:rsid w:val="0019444B"/>
    <w:rsid w:val="001955F1"/>
    <w:rsid w:val="00195B5C"/>
    <w:rsid w:val="001962E3"/>
    <w:rsid w:val="00196528"/>
    <w:rsid w:val="00197275"/>
    <w:rsid w:val="001A321F"/>
    <w:rsid w:val="001A3B56"/>
    <w:rsid w:val="001A72B0"/>
    <w:rsid w:val="001B043A"/>
    <w:rsid w:val="001B1675"/>
    <w:rsid w:val="001B2C11"/>
    <w:rsid w:val="001B2DA9"/>
    <w:rsid w:val="001B4449"/>
    <w:rsid w:val="001B562A"/>
    <w:rsid w:val="001B75D0"/>
    <w:rsid w:val="001C050F"/>
    <w:rsid w:val="001C0E71"/>
    <w:rsid w:val="001C1DC4"/>
    <w:rsid w:val="001C1F49"/>
    <w:rsid w:val="001C5E5D"/>
    <w:rsid w:val="001C6C28"/>
    <w:rsid w:val="001D05C9"/>
    <w:rsid w:val="001D2B20"/>
    <w:rsid w:val="001D2DCE"/>
    <w:rsid w:val="001D4D21"/>
    <w:rsid w:val="001D4F8A"/>
    <w:rsid w:val="001D685E"/>
    <w:rsid w:val="001D70CA"/>
    <w:rsid w:val="001E249D"/>
    <w:rsid w:val="001E25CD"/>
    <w:rsid w:val="001E425F"/>
    <w:rsid w:val="001E43E9"/>
    <w:rsid w:val="001E5E1C"/>
    <w:rsid w:val="001E6413"/>
    <w:rsid w:val="001E6D85"/>
    <w:rsid w:val="001F4776"/>
    <w:rsid w:val="001F5D7F"/>
    <w:rsid w:val="001F6365"/>
    <w:rsid w:val="001F65A4"/>
    <w:rsid w:val="001F764E"/>
    <w:rsid w:val="0020417E"/>
    <w:rsid w:val="002041EE"/>
    <w:rsid w:val="00206846"/>
    <w:rsid w:val="00206B9F"/>
    <w:rsid w:val="00210464"/>
    <w:rsid w:val="002118B0"/>
    <w:rsid w:val="00211EE4"/>
    <w:rsid w:val="00212614"/>
    <w:rsid w:val="00212A86"/>
    <w:rsid w:val="002131D5"/>
    <w:rsid w:val="00213947"/>
    <w:rsid w:val="00214E59"/>
    <w:rsid w:val="0021661F"/>
    <w:rsid w:val="00220B5A"/>
    <w:rsid w:val="00220FDE"/>
    <w:rsid w:val="00221179"/>
    <w:rsid w:val="00221ED5"/>
    <w:rsid w:val="00222E40"/>
    <w:rsid w:val="00222FA5"/>
    <w:rsid w:val="0022314C"/>
    <w:rsid w:val="00223B46"/>
    <w:rsid w:val="00223FCE"/>
    <w:rsid w:val="00227A1E"/>
    <w:rsid w:val="00227B68"/>
    <w:rsid w:val="00227BD5"/>
    <w:rsid w:val="002304E5"/>
    <w:rsid w:val="0023196C"/>
    <w:rsid w:val="002320FE"/>
    <w:rsid w:val="002321D7"/>
    <w:rsid w:val="0023262B"/>
    <w:rsid w:val="00232840"/>
    <w:rsid w:val="00232C0B"/>
    <w:rsid w:val="0023332D"/>
    <w:rsid w:val="00234377"/>
    <w:rsid w:val="00235AAC"/>
    <w:rsid w:val="00235B84"/>
    <w:rsid w:val="0023602D"/>
    <w:rsid w:val="00236092"/>
    <w:rsid w:val="0024053A"/>
    <w:rsid w:val="00240C70"/>
    <w:rsid w:val="00241F17"/>
    <w:rsid w:val="002438AB"/>
    <w:rsid w:val="0024477B"/>
    <w:rsid w:val="002454D0"/>
    <w:rsid w:val="00246167"/>
    <w:rsid w:val="0024692A"/>
    <w:rsid w:val="002502DA"/>
    <w:rsid w:val="00250CC5"/>
    <w:rsid w:val="00251474"/>
    <w:rsid w:val="00251C36"/>
    <w:rsid w:val="00252BF7"/>
    <w:rsid w:val="00253ED7"/>
    <w:rsid w:val="00254DF2"/>
    <w:rsid w:val="00255A14"/>
    <w:rsid w:val="00256A52"/>
    <w:rsid w:val="00257547"/>
    <w:rsid w:val="002600F5"/>
    <w:rsid w:val="0026078A"/>
    <w:rsid w:val="00262E72"/>
    <w:rsid w:val="00263794"/>
    <w:rsid w:val="002648C2"/>
    <w:rsid w:val="00265487"/>
    <w:rsid w:val="00272C14"/>
    <w:rsid w:val="00272D6E"/>
    <w:rsid w:val="002731AF"/>
    <w:rsid w:val="0027520F"/>
    <w:rsid w:val="0027730C"/>
    <w:rsid w:val="00280D02"/>
    <w:rsid w:val="00282783"/>
    <w:rsid w:val="00286233"/>
    <w:rsid w:val="00286696"/>
    <w:rsid w:val="00287AC6"/>
    <w:rsid w:val="00290E21"/>
    <w:rsid w:val="0029120A"/>
    <w:rsid w:val="00291253"/>
    <w:rsid w:val="002912DE"/>
    <w:rsid w:val="00292CD9"/>
    <w:rsid w:val="00293672"/>
    <w:rsid w:val="00294541"/>
    <w:rsid w:val="002958A3"/>
    <w:rsid w:val="00297002"/>
    <w:rsid w:val="002A0844"/>
    <w:rsid w:val="002A09DF"/>
    <w:rsid w:val="002A2354"/>
    <w:rsid w:val="002A23FD"/>
    <w:rsid w:val="002A28E9"/>
    <w:rsid w:val="002A3643"/>
    <w:rsid w:val="002A3F55"/>
    <w:rsid w:val="002A3FB8"/>
    <w:rsid w:val="002A42AD"/>
    <w:rsid w:val="002A62AC"/>
    <w:rsid w:val="002B08F4"/>
    <w:rsid w:val="002B0D07"/>
    <w:rsid w:val="002B0E01"/>
    <w:rsid w:val="002B1D10"/>
    <w:rsid w:val="002B227D"/>
    <w:rsid w:val="002B48E4"/>
    <w:rsid w:val="002B4DFB"/>
    <w:rsid w:val="002B551B"/>
    <w:rsid w:val="002B5A33"/>
    <w:rsid w:val="002B5DC8"/>
    <w:rsid w:val="002B6323"/>
    <w:rsid w:val="002B6471"/>
    <w:rsid w:val="002C26A4"/>
    <w:rsid w:val="002C34D1"/>
    <w:rsid w:val="002C3F4E"/>
    <w:rsid w:val="002C61C9"/>
    <w:rsid w:val="002C6660"/>
    <w:rsid w:val="002C7011"/>
    <w:rsid w:val="002D0721"/>
    <w:rsid w:val="002D0742"/>
    <w:rsid w:val="002D098D"/>
    <w:rsid w:val="002D1236"/>
    <w:rsid w:val="002D17BC"/>
    <w:rsid w:val="002D270F"/>
    <w:rsid w:val="002D2CA9"/>
    <w:rsid w:val="002D3342"/>
    <w:rsid w:val="002D3947"/>
    <w:rsid w:val="002D3CA1"/>
    <w:rsid w:val="002D46F2"/>
    <w:rsid w:val="002D5785"/>
    <w:rsid w:val="002D5FA6"/>
    <w:rsid w:val="002D5FD7"/>
    <w:rsid w:val="002D6B1F"/>
    <w:rsid w:val="002D7021"/>
    <w:rsid w:val="002D7563"/>
    <w:rsid w:val="002D79C2"/>
    <w:rsid w:val="002D7ABC"/>
    <w:rsid w:val="002E09CA"/>
    <w:rsid w:val="002E3A12"/>
    <w:rsid w:val="002E3C4D"/>
    <w:rsid w:val="002E3E19"/>
    <w:rsid w:val="002E5614"/>
    <w:rsid w:val="002E5E00"/>
    <w:rsid w:val="002E667F"/>
    <w:rsid w:val="002E7320"/>
    <w:rsid w:val="002F0015"/>
    <w:rsid w:val="002F1469"/>
    <w:rsid w:val="002F1A44"/>
    <w:rsid w:val="002F2619"/>
    <w:rsid w:val="002F2A92"/>
    <w:rsid w:val="002F2DD4"/>
    <w:rsid w:val="002F3632"/>
    <w:rsid w:val="002F3683"/>
    <w:rsid w:val="002F4AFD"/>
    <w:rsid w:val="002F4F22"/>
    <w:rsid w:val="002F6868"/>
    <w:rsid w:val="002F7E29"/>
    <w:rsid w:val="00300223"/>
    <w:rsid w:val="00300420"/>
    <w:rsid w:val="0030106B"/>
    <w:rsid w:val="00302B9E"/>
    <w:rsid w:val="00303D3C"/>
    <w:rsid w:val="00303D8F"/>
    <w:rsid w:val="00303ECB"/>
    <w:rsid w:val="00304E91"/>
    <w:rsid w:val="00305B3A"/>
    <w:rsid w:val="003075B1"/>
    <w:rsid w:val="0031555C"/>
    <w:rsid w:val="003164A9"/>
    <w:rsid w:val="00320448"/>
    <w:rsid w:val="00320F15"/>
    <w:rsid w:val="00321577"/>
    <w:rsid w:val="00322988"/>
    <w:rsid w:val="00322ECB"/>
    <w:rsid w:val="003249EC"/>
    <w:rsid w:val="00324D27"/>
    <w:rsid w:val="00324D79"/>
    <w:rsid w:val="003260F1"/>
    <w:rsid w:val="003267A2"/>
    <w:rsid w:val="0033024C"/>
    <w:rsid w:val="00331511"/>
    <w:rsid w:val="0033216C"/>
    <w:rsid w:val="00332503"/>
    <w:rsid w:val="00332D4D"/>
    <w:rsid w:val="00334938"/>
    <w:rsid w:val="00334B95"/>
    <w:rsid w:val="003351F1"/>
    <w:rsid w:val="00335C2C"/>
    <w:rsid w:val="00336C23"/>
    <w:rsid w:val="003370A9"/>
    <w:rsid w:val="003378A9"/>
    <w:rsid w:val="00337956"/>
    <w:rsid w:val="00337AD5"/>
    <w:rsid w:val="00341139"/>
    <w:rsid w:val="00341842"/>
    <w:rsid w:val="00341EE1"/>
    <w:rsid w:val="003428F5"/>
    <w:rsid w:val="003430CD"/>
    <w:rsid w:val="00343525"/>
    <w:rsid w:val="00343D0C"/>
    <w:rsid w:val="00344C8A"/>
    <w:rsid w:val="003450FB"/>
    <w:rsid w:val="00351483"/>
    <w:rsid w:val="00351F50"/>
    <w:rsid w:val="0035283E"/>
    <w:rsid w:val="00352990"/>
    <w:rsid w:val="00353E26"/>
    <w:rsid w:val="003549BC"/>
    <w:rsid w:val="00354EFA"/>
    <w:rsid w:val="00355204"/>
    <w:rsid w:val="0035702C"/>
    <w:rsid w:val="00357FD6"/>
    <w:rsid w:val="00360781"/>
    <w:rsid w:val="00361FCE"/>
    <w:rsid w:val="0036285B"/>
    <w:rsid w:val="00364592"/>
    <w:rsid w:val="003661C6"/>
    <w:rsid w:val="003670DF"/>
    <w:rsid w:val="0037143D"/>
    <w:rsid w:val="00372AE2"/>
    <w:rsid w:val="00373566"/>
    <w:rsid w:val="0037517A"/>
    <w:rsid w:val="0037547D"/>
    <w:rsid w:val="00375D26"/>
    <w:rsid w:val="003807EE"/>
    <w:rsid w:val="0038315E"/>
    <w:rsid w:val="00384635"/>
    <w:rsid w:val="00385B29"/>
    <w:rsid w:val="003931DF"/>
    <w:rsid w:val="00393923"/>
    <w:rsid w:val="00393D29"/>
    <w:rsid w:val="00393E97"/>
    <w:rsid w:val="0039423C"/>
    <w:rsid w:val="00395058"/>
    <w:rsid w:val="003967AF"/>
    <w:rsid w:val="00397099"/>
    <w:rsid w:val="0039777E"/>
    <w:rsid w:val="003A496F"/>
    <w:rsid w:val="003A50DA"/>
    <w:rsid w:val="003A602C"/>
    <w:rsid w:val="003A664F"/>
    <w:rsid w:val="003A6ADE"/>
    <w:rsid w:val="003A737E"/>
    <w:rsid w:val="003B299F"/>
    <w:rsid w:val="003B3095"/>
    <w:rsid w:val="003B4283"/>
    <w:rsid w:val="003B4417"/>
    <w:rsid w:val="003B5190"/>
    <w:rsid w:val="003B643D"/>
    <w:rsid w:val="003B6BC2"/>
    <w:rsid w:val="003B7D99"/>
    <w:rsid w:val="003C06FA"/>
    <w:rsid w:val="003C1A58"/>
    <w:rsid w:val="003C1C16"/>
    <w:rsid w:val="003C3474"/>
    <w:rsid w:val="003C53A8"/>
    <w:rsid w:val="003D04B1"/>
    <w:rsid w:val="003D2409"/>
    <w:rsid w:val="003D360D"/>
    <w:rsid w:val="003D375C"/>
    <w:rsid w:val="003D5428"/>
    <w:rsid w:val="003D63A6"/>
    <w:rsid w:val="003D64E0"/>
    <w:rsid w:val="003D6E1F"/>
    <w:rsid w:val="003E00A3"/>
    <w:rsid w:val="003E116F"/>
    <w:rsid w:val="003E13E2"/>
    <w:rsid w:val="003E3315"/>
    <w:rsid w:val="003E4C69"/>
    <w:rsid w:val="003E5335"/>
    <w:rsid w:val="003E70EC"/>
    <w:rsid w:val="003E77DD"/>
    <w:rsid w:val="003E795F"/>
    <w:rsid w:val="003E7D15"/>
    <w:rsid w:val="003F0E1B"/>
    <w:rsid w:val="003F1785"/>
    <w:rsid w:val="003F28E3"/>
    <w:rsid w:val="003F4295"/>
    <w:rsid w:val="003F4A43"/>
    <w:rsid w:val="003F4D25"/>
    <w:rsid w:val="003F53F5"/>
    <w:rsid w:val="003F565F"/>
    <w:rsid w:val="003F6562"/>
    <w:rsid w:val="003F67F6"/>
    <w:rsid w:val="003F68D6"/>
    <w:rsid w:val="004005FA"/>
    <w:rsid w:val="00400976"/>
    <w:rsid w:val="00401E95"/>
    <w:rsid w:val="0040300D"/>
    <w:rsid w:val="0040370A"/>
    <w:rsid w:val="00403895"/>
    <w:rsid w:val="00403A3B"/>
    <w:rsid w:val="00404A06"/>
    <w:rsid w:val="00404C4A"/>
    <w:rsid w:val="00405368"/>
    <w:rsid w:val="00406B1C"/>
    <w:rsid w:val="00407A54"/>
    <w:rsid w:val="00407CE1"/>
    <w:rsid w:val="00411428"/>
    <w:rsid w:val="00411C89"/>
    <w:rsid w:val="004131FC"/>
    <w:rsid w:val="0041440C"/>
    <w:rsid w:val="00415244"/>
    <w:rsid w:val="00417135"/>
    <w:rsid w:val="00417549"/>
    <w:rsid w:val="00417F12"/>
    <w:rsid w:val="004207BC"/>
    <w:rsid w:val="00422766"/>
    <w:rsid w:val="00422A31"/>
    <w:rsid w:val="00423935"/>
    <w:rsid w:val="00423A2D"/>
    <w:rsid w:val="00425A41"/>
    <w:rsid w:val="00426462"/>
    <w:rsid w:val="004270AD"/>
    <w:rsid w:val="00431F45"/>
    <w:rsid w:val="00432502"/>
    <w:rsid w:val="004325B6"/>
    <w:rsid w:val="00432E96"/>
    <w:rsid w:val="0043436D"/>
    <w:rsid w:val="00435032"/>
    <w:rsid w:val="00435C09"/>
    <w:rsid w:val="00435EB6"/>
    <w:rsid w:val="004367ED"/>
    <w:rsid w:val="00436E35"/>
    <w:rsid w:val="00443997"/>
    <w:rsid w:val="00443F8F"/>
    <w:rsid w:val="00444A21"/>
    <w:rsid w:val="00446D00"/>
    <w:rsid w:val="00447574"/>
    <w:rsid w:val="0044781C"/>
    <w:rsid w:val="00447C3E"/>
    <w:rsid w:val="00450254"/>
    <w:rsid w:val="004505D7"/>
    <w:rsid w:val="0045111C"/>
    <w:rsid w:val="00451AF1"/>
    <w:rsid w:val="00456C0A"/>
    <w:rsid w:val="004572E8"/>
    <w:rsid w:val="00457D48"/>
    <w:rsid w:val="00460FFD"/>
    <w:rsid w:val="00461979"/>
    <w:rsid w:val="004619E9"/>
    <w:rsid w:val="0046278E"/>
    <w:rsid w:val="00462F22"/>
    <w:rsid w:val="004637CF"/>
    <w:rsid w:val="0046414A"/>
    <w:rsid w:val="00465339"/>
    <w:rsid w:val="004653EB"/>
    <w:rsid w:val="0046638E"/>
    <w:rsid w:val="00466A35"/>
    <w:rsid w:val="00466FA3"/>
    <w:rsid w:val="0046784F"/>
    <w:rsid w:val="004707A7"/>
    <w:rsid w:val="00472F7C"/>
    <w:rsid w:val="00474B7C"/>
    <w:rsid w:val="00475A41"/>
    <w:rsid w:val="0047621E"/>
    <w:rsid w:val="004809B4"/>
    <w:rsid w:val="00480A32"/>
    <w:rsid w:val="004819DC"/>
    <w:rsid w:val="00481ACA"/>
    <w:rsid w:val="00482A90"/>
    <w:rsid w:val="0048390B"/>
    <w:rsid w:val="00483DD0"/>
    <w:rsid w:val="004849CC"/>
    <w:rsid w:val="004857C2"/>
    <w:rsid w:val="00485FAC"/>
    <w:rsid w:val="0048637D"/>
    <w:rsid w:val="00487ABA"/>
    <w:rsid w:val="00487AD5"/>
    <w:rsid w:val="00490CAF"/>
    <w:rsid w:val="004913DA"/>
    <w:rsid w:val="00492311"/>
    <w:rsid w:val="004925A5"/>
    <w:rsid w:val="004930D2"/>
    <w:rsid w:val="00493FE4"/>
    <w:rsid w:val="00494730"/>
    <w:rsid w:val="00494F1D"/>
    <w:rsid w:val="00495925"/>
    <w:rsid w:val="004965E8"/>
    <w:rsid w:val="004A48F3"/>
    <w:rsid w:val="004A52E9"/>
    <w:rsid w:val="004A75FA"/>
    <w:rsid w:val="004B18DD"/>
    <w:rsid w:val="004B2F80"/>
    <w:rsid w:val="004B2FA0"/>
    <w:rsid w:val="004B3C59"/>
    <w:rsid w:val="004B4A4D"/>
    <w:rsid w:val="004B53C0"/>
    <w:rsid w:val="004C0568"/>
    <w:rsid w:val="004C069F"/>
    <w:rsid w:val="004C18CC"/>
    <w:rsid w:val="004C39A6"/>
    <w:rsid w:val="004C55BF"/>
    <w:rsid w:val="004C66FB"/>
    <w:rsid w:val="004C7187"/>
    <w:rsid w:val="004C7EC7"/>
    <w:rsid w:val="004D0180"/>
    <w:rsid w:val="004D1096"/>
    <w:rsid w:val="004D1772"/>
    <w:rsid w:val="004D31FB"/>
    <w:rsid w:val="004D3258"/>
    <w:rsid w:val="004D50CB"/>
    <w:rsid w:val="004E070A"/>
    <w:rsid w:val="004E219C"/>
    <w:rsid w:val="004E55B8"/>
    <w:rsid w:val="004E5F4F"/>
    <w:rsid w:val="004F09A2"/>
    <w:rsid w:val="004F3000"/>
    <w:rsid w:val="004F364D"/>
    <w:rsid w:val="004F453D"/>
    <w:rsid w:val="004F5ECC"/>
    <w:rsid w:val="004F7E68"/>
    <w:rsid w:val="00500D14"/>
    <w:rsid w:val="00501A36"/>
    <w:rsid w:val="00501AC7"/>
    <w:rsid w:val="00501B11"/>
    <w:rsid w:val="00501E15"/>
    <w:rsid w:val="005020D1"/>
    <w:rsid w:val="005026C3"/>
    <w:rsid w:val="005029E2"/>
    <w:rsid w:val="00503805"/>
    <w:rsid w:val="005052A9"/>
    <w:rsid w:val="00505943"/>
    <w:rsid w:val="00505F42"/>
    <w:rsid w:val="0050676A"/>
    <w:rsid w:val="00506FBF"/>
    <w:rsid w:val="00512C9B"/>
    <w:rsid w:val="005131E9"/>
    <w:rsid w:val="00513704"/>
    <w:rsid w:val="00513947"/>
    <w:rsid w:val="00515708"/>
    <w:rsid w:val="00516309"/>
    <w:rsid w:val="005214E0"/>
    <w:rsid w:val="00521A3E"/>
    <w:rsid w:val="00521FD5"/>
    <w:rsid w:val="00522DFB"/>
    <w:rsid w:val="00523701"/>
    <w:rsid w:val="005237E6"/>
    <w:rsid w:val="00523C74"/>
    <w:rsid w:val="005246EE"/>
    <w:rsid w:val="0052549C"/>
    <w:rsid w:val="00525EBF"/>
    <w:rsid w:val="005260FF"/>
    <w:rsid w:val="005303DE"/>
    <w:rsid w:val="00530ED3"/>
    <w:rsid w:val="00532F83"/>
    <w:rsid w:val="00533702"/>
    <w:rsid w:val="00534053"/>
    <w:rsid w:val="00540471"/>
    <w:rsid w:val="005409DF"/>
    <w:rsid w:val="005425D9"/>
    <w:rsid w:val="00545171"/>
    <w:rsid w:val="00545373"/>
    <w:rsid w:val="0054725E"/>
    <w:rsid w:val="00547913"/>
    <w:rsid w:val="00550663"/>
    <w:rsid w:val="00550BEA"/>
    <w:rsid w:val="00551806"/>
    <w:rsid w:val="00551CED"/>
    <w:rsid w:val="005526D5"/>
    <w:rsid w:val="00554522"/>
    <w:rsid w:val="005545D6"/>
    <w:rsid w:val="00554A08"/>
    <w:rsid w:val="00555DF9"/>
    <w:rsid w:val="00556EC7"/>
    <w:rsid w:val="00557C55"/>
    <w:rsid w:val="00557E7D"/>
    <w:rsid w:val="005600E6"/>
    <w:rsid w:val="005616F2"/>
    <w:rsid w:val="00562DCA"/>
    <w:rsid w:val="00562EEC"/>
    <w:rsid w:val="005631C4"/>
    <w:rsid w:val="00565469"/>
    <w:rsid w:val="0056559F"/>
    <w:rsid w:val="005669AD"/>
    <w:rsid w:val="00567B0D"/>
    <w:rsid w:val="00570444"/>
    <w:rsid w:val="005716D5"/>
    <w:rsid w:val="00571E42"/>
    <w:rsid w:val="00571F41"/>
    <w:rsid w:val="00575C6F"/>
    <w:rsid w:val="00576069"/>
    <w:rsid w:val="005760E1"/>
    <w:rsid w:val="00577271"/>
    <w:rsid w:val="00580F10"/>
    <w:rsid w:val="00583C0B"/>
    <w:rsid w:val="00583C67"/>
    <w:rsid w:val="0058437E"/>
    <w:rsid w:val="005860A0"/>
    <w:rsid w:val="00586214"/>
    <w:rsid w:val="00586243"/>
    <w:rsid w:val="005865BE"/>
    <w:rsid w:val="00586FEB"/>
    <w:rsid w:val="00587B77"/>
    <w:rsid w:val="00587C56"/>
    <w:rsid w:val="00590F1B"/>
    <w:rsid w:val="00592A8A"/>
    <w:rsid w:val="00596510"/>
    <w:rsid w:val="00596B8B"/>
    <w:rsid w:val="00596FAD"/>
    <w:rsid w:val="00597E9E"/>
    <w:rsid w:val="005A0A1E"/>
    <w:rsid w:val="005A118A"/>
    <w:rsid w:val="005A2646"/>
    <w:rsid w:val="005A42E2"/>
    <w:rsid w:val="005A44AC"/>
    <w:rsid w:val="005A4D7D"/>
    <w:rsid w:val="005B3DDC"/>
    <w:rsid w:val="005B4AB1"/>
    <w:rsid w:val="005B563E"/>
    <w:rsid w:val="005C316F"/>
    <w:rsid w:val="005C37A8"/>
    <w:rsid w:val="005C493F"/>
    <w:rsid w:val="005C584D"/>
    <w:rsid w:val="005C5DC6"/>
    <w:rsid w:val="005C6CE3"/>
    <w:rsid w:val="005C6EB8"/>
    <w:rsid w:val="005D11F8"/>
    <w:rsid w:val="005D1F16"/>
    <w:rsid w:val="005D2724"/>
    <w:rsid w:val="005D3453"/>
    <w:rsid w:val="005D435F"/>
    <w:rsid w:val="005D550C"/>
    <w:rsid w:val="005D57D4"/>
    <w:rsid w:val="005D5BCD"/>
    <w:rsid w:val="005D5FFD"/>
    <w:rsid w:val="005D7504"/>
    <w:rsid w:val="005D75F9"/>
    <w:rsid w:val="005E0AE0"/>
    <w:rsid w:val="005E0F42"/>
    <w:rsid w:val="005E1C80"/>
    <w:rsid w:val="005E1D19"/>
    <w:rsid w:val="005E2A95"/>
    <w:rsid w:val="005E3F2C"/>
    <w:rsid w:val="005E7250"/>
    <w:rsid w:val="005F0534"/>
    <w:rsid w:val="005F07F4"/>
    <w:rsid w:val="005F110B"/>
    <w:rsid w:val="005F24D8"/>
    <w:rsid w:val="005F26F8"/>
    <w:rsid w:val="005F3E29"/>
    <w:rsid w:val="005F4227"/>
    <w:rsid w:val="005F43D7"/>
    <w:rsid w:val="005F554A"/>
    <w:rsid w:val="005F62D0"/>
    <w:rsid w:val="005F65C3"/>
    <w:rsid w:val="00604938"/>
    <w:rsid w:val="006049F2"/>
    <w:rsid w:val="006065CD"/>
    <w:rsid w:val="00606D52"/>
    <w:rsid w:val="00611447"/>
    <w:rsid w:val="006117CB"/>
    <w:rsid w:val="006122D0"/>
    <w:rsid w:val="00612B69"/>
    <w:rsid w:val="00612BDB"/>
    <w:rsid w:val="006148A2"/>
    <w:rsid w:val="006152E6"/>
    <w:rsid w:val="0061619B"/>
    <w:rsid w:val="00616F07"/>
    <w:rsid w:val="00616FBF"/>
    <w:rsid w:val="0062091D"/>
    <w:rsid w:val="0062144A"/>
    <w:rsid w:val="00621B56"/>
    <w:rsid w:val="00622F0D"/>
    <w:rsid w:val="0062311B"/>
    <w:rsid w:val="00623FA9"/>
    <w:rsid w:val="00624330"/>
    <w:rsid w:val="00625F64"/>
    <w:rsid w:val="00626839"/>
    <w:rsid w:val="00631F5B"/>
    <w:rsid w:val="00632DD9"/>
    <w:rsid w:val="00633A2A"/>
    <w:rsid w:val="00634B4A"/>
    <w:rsid w:val="00636819"/>
    <w:rsid w:val="00636A45"/>
    <w:rsid w:val="00636D1F"/>
    <w:rsid w:val="00637C2B"/>
    <w:rsid w:val="00640422"/>
    <w:rsid w:val="0064112C"/>
    <w:rsid w:val="006419BF"/>
    <w:rsid w:val="00641C64"/>
    <w:rsid w:val="00641F19"/>
    <w:rsid w:val="00643D80"/>
    <w:rsid w:val="00645B16"/>
    <w:rsid w:val="0064655D"/>
    <w:rsid w:val="00647D26"/>
    <w:rsid w:val="00650A26"/>
    <w:rsid w:val="006513CD"/>
    <w:rsid w:val="006519B9"/>
    <w:rsid w:val="00652161"/>
    <w:rsid w:val="00652B1B"/>
    <w:rsid w:val="0065573C"/>
    <w:rsid w:val="00657405"/>
    <w:rsid w:val="00657E0F"/>
    <w:rsid w:val="00660231"/>
    <w:rsid w:val="006610AB"/>
    <w:rsid w:val="00662C08"/>
    <w:rsid w:val="00663E1D"/>
    <w:rsid w:val="00664489"/>
    <w:rsid w:val="00665E81"/>
    <w:rsid w:val="00671840"/>
    <w:rsid w:val="00672775"/>
    <w:rsid w:val="00672DBA"/>
    <w:rsid w:val="0067359C"/>
    <w:rsid w:val="0067658D"/>
    <w:rsid w:val="006769ED"/>
    <w:rsid w:val="006771AE"/>
    <w:rsid w:val="006772C1"/>
    <w:rsid w:val="00681880"/>
    <w:rsid w:val="006822E7"/>
    <w:rsid w:val="00683DE5"/>
    <w:rsid w:val="006849B4"/>
    <w:rsid w:val="0068561A"/>
    <w:rsid w:val="00685BF0"/>
    <w:rsid w:val="0068646D"/>
    <w:rsid w:val="00686F97"/>
    <w:rsid w:val="006879BA"/>
    <w:rsid w:val="00687EB9"/>
    <w:rsid w:val="00690344"/>
    <w:rsid w:val="006910D1"/>
    <w:rsid w:val="006936E4"/>
    <w:rsid w:val="0069422B"/>
    <w:rsid w:val="00695CCE"/>
    <w:rsid w:val="00697639"/>
    <w:rsid w:val="00697CC7"/>
    <w:rsid w:val="006A125E"/>
    <w:rsid w:val="006A50A3"/>
    <w:rsid w:val="006A6049"/>
    <w:rsid w:val="006A68BF"/>
    <w:rsid w:val="006B238B"/>
    <w:rsid w:val="006B26CF"/>
    <w:rsid w:val="006B65A9"/>
    <w:rsid w:val="006B6FC3"/>
    <w:rsid w:val="006B702D"/>
    <w:rsid w:val="006C0993"/>
    <w:rsid w:val="006C0D3A"/>
    <w:rsid w:val="006C2155"/>
    <w:rsid w:val="006C28E9"/>
    <w:rsid w:val="006C2A53"/>
    <w:rsid w:val="006C3103"/>
    <w:rsid w:val="006C40B5"/>
    <w:rsid w:val="006C53D3"/>
    <w:rsid w:val="006C54D7"/>
    <w:rsid w:val="006C7438"/>
    <w:rsid w:val="006D048A"/>
    <w:rsid w:val="006D0D7B"/>
    <w:rsid w:val="006D1DF0"/>
    <w:rsid w:val="006D2799"/>
    <w:rsid w:val="006D27C2"/>
    <w:rsid w:val="006D3AF4"/>
    <w:rsid w:val="006D44D1"/>
    <w:rsid w:val="006D57B4"/>
    <w:rsid w:val="006D6871"/>
    <w:rsid w:val="006E04C2"/>
    <w:rsid w:val="006E0C05"/>
    <w:rsid w:val="006E262B"/>
    <w:rsid w:val="006E2CA4"/>
    <w:rsid w:val="006E40A1"/>
    <w:rsid w:val="006E420E"/>
    <w:rsid w:val="006E450C"/>
    <w:rsid w:val="006E7551"/>
    <w:rsid w:val="006E7D36"/>
    <w:rsid w:val="006F1062"/>
    <w:rsid w:val="006F3106"/>
    <w:rsid w:val="006F49DD"/>
    <w:rsid w:val="006F5332"/>
    <w:rsid w:val="006F672C"/>
    <w:rsid w:val="00700AE1"/>
    <w:rsid w:val="00700F80"/>
    <w:rsid w:val="00702082"/>
    <w:rsid w:val="00702130"/>
    <w:rsid w:val="00703013"/>
    <w:rsid w:val="00703023"/>
    <w:rsid w:val="00703196"/>
    <w:rsid w:val="007053DC"/>
    <w:rsid w:val="007068FA"/>
    <w:rsid w:val="00707E12"/>
    <w:rsid w:val="007119CB"/>
    <w:rsid w:val="007119E2"/>
    <w:rsid w:val="007123B2"/>
    <w:rsid w:val="00712602"/>
    <w:rsid w:val="00714B8C"/>
    <w:rsid w:val="00715495"/>
    <w:rsid w:val="00715A31"/>
    <w:rsid w:val="00715DC6"/>
    <w:rsid w:val="00716919"/>
    <w:rsid w:val="00717970"/>
    <w:rsid w:val="00721CA1"/>
    <w:rsid w:val="00724E4F"/>
    <w:rsid w:val="00725C45"/>
    <w:rsid w:val="0073247C"/>
    <w:rsid w:val="007333AD"/>
    <w:rsid w:val="00734AC8"/>
    <w:rsid w:val="00735040"/>
    <w:rsid w:val="00735592"/>
    <w:rsid w:val="0073625E"/>
    <w:rsid w:val="007368C5"/>
    <w:rsid w:val="00740427"/>
    <w:rsid w:val="0074373A"/>
    <w:rsid w:val="00743A63"/>
    <w:rsid w:val="00743E7B"/>
    <w:rsid w:val="00744833"/>
    <w:rsid w:val="007478E4"/>
    <w:rsid w:val="00747B64"/>
    <w:rsid w:val="00750A8A"/>
    <w:rsid w:val="00750D90"/>
    <w:rsid w:val="007513C2"/>
    <w:rsid w:val="00752534"/>
    <w:rsid w:val="007526FD"/>
    <w:rsid w:val="00753211"/>
    <w:rsid w:val="007567A5"/>
    <w:rsid w:val="00756DC2"/>
    <w:rsid w:val="00756FFC"/>
    <w:rsid w:val="00757C59"/>
    <w:rsid w:val="0076088A"/>
    <w:rsid w:val="007613DE"/>
    <w:rsid w:val="00762D29"/>
    <w:rsid w:val="007642A2"/>
    <w:rsid w:val="00765A4A"/>
    <w:rsid w:val="007663D3"/>
    <w:rsid w:val="00766B0C"/>
    <w:rsid w:val="00766B19"/>
    <w:rsid w:val="00767C62"/>
    <w:rsid w:val="007716AC"/>
    <w:rsid w:val="00773FEE"/>
    <w:rsid w:val="007746BA"/>
    <w:rsid w:val="00774842"/>
    <w:rsid w:val="00774C1F"/>
    <w:rsid w:val="0077539D"/>
    <w:rsid w:val="00775C7F"/>
    <w:rsid w:val="007767D4"/>
    <w:rsid w:val="007770B3"/>
    <w:rsid w:val="0078082F"/>
    <w:rsid w:val="0078179A"/>
    <w:rsid w:val="007817CC"/>
    <w:rsid w:val="00783A26"/>
    <w:rsid w:val="0078590D"/>
    <w:rsid w:val="00785B99"/>
    <w:rsid w:val="007863B4"/>
    <w:rsid w:val="00791000"/>
    <w:rsid w:val="00791F5F"/>
    <w:rsid w:val="00794F3A"/>
    <w:rsid w:val="00795129"/>
    <w:rsid w:val="0079562F"/>
    <w:rsid w:val="00796247"/>
    <w:rsid w:val="0079666F"/>
    <w:rsid w:val="007A126F"/>
    <w:rsid w:val="007A1508"/>
    <w:rsid w:val="007A165F"/>
    <w:rsid w:val="007A1923"/>
    <w:rsid w:val="007A22CB"/>
    <w:rsid w:val="007A2782"/>
    <w:rsid w:val="007A3EE2"/>
    <w:rsid w:val="007A54E6"/>
    <w:rsid w:val="007A730D"/>
    <w:rsid w:val="007A7C45"/>
    <w:rsid w:val="007B04E1"/>
    <w:rsid w:val="007B1817"/>
    <w:rsid w:val="007B1DB7"/>
    <w:rsid w:val="007B30AB"/>
    <w:rsid w:val="007B343A"/>
    <w:rsid w:val="007B35EA"/>
    <w:rsid w:val="007B4D4A"/>
    <w:rsid w:val="007B530B"/>
    <w:rsid w:val="007B7166"/>
    <w:rsid w:val="007B76A5"/>
    <w:rsid w:val="007C148B"/>
    <w:rsid w:val="007C1CCF"/>
    <w:rsid w:val="007C243F"/>
    <w:rsid w:val="007C4BD4"/>
    <w:rsid w:val="007C4E36"/>
    <w:rsid w:val="007C6D3C"/>
    <w:rsid w:val="007C7785"/>
    <w:rsid w:val="007D1017"/>
    <w:rsid w:val="007D18B3"/>
    <w:rsid w:val="007D3DCA"/>
    <w:rsid w:val="007D3E00"/>
    <w:rsid w:val="007D55CB"/>
    <w:rsid w:val="007D641B"/>
    <w:rsid w:val="007D6D4B"/>
    <w:rsid w:val="007E1814"/>
    <w:rsid w:val="007E351E"/>
    <w:rsid w:val="007E40C7"/>
    <w:rsid w:val="007E5319"/>
    <w:rsid w:val="007E6D54"/>
    <w:rsid w:val="007E7577"/>
    <w:rsid w:val="007E777E"/>
    <w:rsid w:val="007E7B4C"/>
    <w:rsid w:val="007F0F57"/>
    <w:rsid w:val="007F0FAB"/>
    <w:rsid w:val="007F1321"/>
    <w:rsid w:val="007F13D5"/>
    <w:rsid w:val="007F3460"/>
    <w:rsid w:val="007F44B4"/>
    <w:rsid w:val="007F492A"/>
    <w:rsid w:val="007F5EF9"/>
    <w:rsid w:val="007F6942"/>
    <w:rsid w:val="007F75A9"/>
    <w:rsid w:val="007F7AED"/>
    <w:rsid w:val="008011D4"/>
    <w:rsid w:val="00801B86"/>
    <w:rsid w:val="008028D0"/>
    <w:rsid w:val="0080293F"/>
    <w:rsid w:val="00802A1D"/>
    <w:rsid w:val="00802D35"/>
    <w:rsid w:val="0080302B"/>
    <w:rsid w:val="00803148"/>
    <w:rsid w:val="008054DC"/>
    <w:rsid w:val="008077FE"/>
    <w:rsid w:val="00807CAA"/>
    <w:rsid w:val="00807F0C"/>
    <w:rsid w:val="008131F9"/>
    <w:rsid w:val="00813426"/>
    <w:rsid w:val="008138A1"/>
    <w:rsid w:val="00814CB7"/>
    <w:rsid w:val="00814ED7"/>
    <w:rsid w:val="008151AA"/>
    <w:rsid w:val="0081554F"/>
    <w:rsid w:val="0081614B"/>
    <w:rsid w:val="0081714C"/>
    <w:rsid w:val="00817EF3"/>
    <w:rsid w:val="008204C4"/>
    <w:rsid w:val="00820C2F"/>
    <w:rsid w:val="00820E55"/>
    <w:rsid w:val="008223E6"/>
    <w:rsid w:val="0082260A"/>
    <w:rsid w:val="008266A7"/>
    <w:rsid w:val="0082746A"/>
    <w:rsid w:val="00827770"/>
    <w:rsid w:val="00830FCC"/>
    <w:rsid w:val="008329A7"/>
    <w:rsid w:val="00835078"/>
    <w:rsid w:val="00835C2D"/>
    <w:rsid w:val="00840347"/>
    <w:rsid w:val="00844634"/>
    <w:rsid w:val="008464BC"/>
    <w:rsid w:val="0084662A"/>
    <w:rsid w:val="00847A27"/>
    <w:rsid w:val="0085065B"/>
    <w:rsid w:val="008523F8"/>
    <w:rsid w:val="00854A05"/>
    <w:rsid w:val="0085553C"/>
    <w:rsid w:val="00855AE6"/>
    <w:rsid w:val="00857262"/>
    <w:rsid w:val="0086242D"/>
    <w:rsid w:val="00862447"/>
    <w:rsid w:val="008625EC"/>
    <w:rsid w:val="00864777"/>
    <w:rsid w:val="008656DF"/>
    <w:rsid w:val="00866255"/>
    <w:rsid w:val="008677AC"/>
    <w:rsid w:val="0087028D"/>
    <w:rsid w:val="008704E1"/>
    <w:rsid w:val="008710EF"/>
    <w:rsid w:val="0087124D"/>
    <w:rsid w:val="00873B89"/>
    <w:rsid w:val="0087466E"/>
    <w:rsid w:val="00874723"/>
    <w:rsid w:val="00875863"/>
    <w:rsid w:val="00876588"/>
    <w:rsid w:val="0087719A"/>
    <w:rsid w:val="00881448"/>
    <w:rsid w:val="00882360"/>
    <w:rsid w:val="00893576"/>
    <w:rsid w:val="00894D44"/>
    <w:rsid w:val="00896303"/>
    <w:rsid w:val="00897AC3"/>
    <w:rsid w:val="008A1BC6"/>
    <w:rsid w:val="008A4105"/>
    <w:rsid w:val="008A468F"/>
    <w:rsid w:val="008A4C4F"/>
    <w:rsid w:val="008A508A"/>
    <w:rsid w:val="008A5427"/>
    <w:rsid w:val="008A736A"/>
    <w:rsid w:val="008A7A06"/>
    <w:rsid w:val="008B0905"/>
    <w:rsid w:val="008B0ED2"/>
    <w:rsid w:val="008B12C0"/>
    <w:rsid w:val="008B1956"/>
    <w:rsid w:val="008B4584"/>
    <w:rsid w:val="008B5113"/>
    <w:rsid w:val="008C01FB"/>
    <w:rsid w:val="008C0DD5"/>
    <w:rsid w:val="008C12DB"/>
    <w:rsid w:val="008C191D"/>
    <w:rsid w:val="008C19B1"/>
    <w:rsid w:val="008C2891"/>
    <w:rsid w:val="008C3B11"/>
    <w:rsid w:val="008C463E"/>
    <w:rsid w:val="008C564D"/>
    <w:rsid w:val="008C633E"/>
    <w:rsid w:val="008D1F50"/>
    <w:rsid w:val="008D5DF0"/>
    <w:rsid w:val="008D76B5"/>
    <w:rsid w:val="008E25E2"/>
    <w:rsid w:val="008E2BEC"/>
    <w:rsid w:val="008E2F89"/>
    <w:rsid w:val="008E34A6"/>
    <w:rsid w:val="008E39B4"/>
    <w:rsid w:val="008E4347"/>
    <w:rsid w:val="008E4AD1"/>
    <w:rsid w:val="008E54E3"/>
    <w:rsid w:val="008F0549"/>
    <w:rsid w:val="008F0D39"/>
    <w:rsid w:val="008F0E7D"/>
    <w:rsid w:val="008F140B"/>
    <w:rsid w:val="008F1E39"/>
    <w:rsid w:val="008F309C"/>
    <w:rsid w:val="008F4097"/>
    <w:rsid w:val="008F4A29"/>
    <w:rsid w:val="008F5309"/>
    <w:rsid w:val="008F5888"/>
    <w:rsid w:val="008F58BF"/>
    <w:rsid w:val="008F61D2"/>
    <w:rsid w:val="008F6410"/>
    <w:rsid w:val="008F73E5"/>
    <w:rsid w:val="00900729"/>
    <w:rsid w:val="00900E1D"/>
    <w:rsid w:val="0090211C"/>
    <w:rsid w:val="00902CFA"/>
    <w:rsid w:val="00906122"/>
    <w:rsid w:val="00906503"/>
    <w:rsid w:val="00910B93"/>
    <w:rsid w:val="00912DC5"/>
    <w:rsid w:val="009141DB"/>
    <w:rsid w:val="00915005"/>
    <w:rsid w:val="00915A6A"/>
    <w:rsid w:val="00915E62"/>
    <w:rsid w:val="009164B1"/>
    <w:rsid w:val="00916795"/>
    <w:rsid w:val="00916ACF"/>
    <w:rsid w:val="00917F3A"/>
    <w:rsid w:val="00921051"/>
    <w:rsid w:val="009245D1"/>
    <w:rsid w:val="0092757A"/>
    <w:rsid w:val="00930012"/>
    <w:rsid w:val="00930A36"/>
    <w:rsid w:val="00931BE6"/>
    <w:rsid w:val="00932EFD"/>
    <w:rsid w:val="009337B5"/>
    <w:rsid w:val="00933957"/>
    <w:rsid w:val="009372F2"/>
    <w:rsid w:val="009406D1"/>
    <w:rsid w:val="00940983"/>
    <w:rsid w:val="0094110D"/>
    <w:rsid w:val="0094136B"/>
    <w:rsid w:val="009425CA"/>
    <w:rsid w:val="00942FDE"/>
    <w:rsid w:val="00943706"/>
    <w:rsid w:val="00943C09"/>
    <w:rsid w:val="00945E14"/>
    <w:rsid w:val="00946A82"/>
    <w:rsid w:val="009477D4"/>
    <w:rsid w:val="009500B1"/>
    <w:rsid w:val="00951CFE"/>
    <w:rsid w:val="009525C3"/>
    <w:rsid w:val="00952EA8"/>
    <w:rsid w:val="009538CF"/>
    <w:rsid w:val="0095530D"/>
    <w:rsid w:val="00956945"/>
    <w:rsid w:val="00957C27"/>
    <w:rsid w:val="00960086"/>
    <w:rsid w:val="009600D8"/>
    <w:rsid w:val="00960986"/>
    <w:rsid w:val="00960C4F"/>
    <w:rsid w:val="009638AA"/>
    <w:rsid w:val="0096510D"/>
    <w:rsid w:val="0096579D"/>
    <w:rsid w:val="0097007C"/>
    <w:rsid w:val="00971DF3"/>
    <w:rsid w:val="00972715"/>
    <w:rsid w:val="00973C2B"/>
    <w:rsid w:val="0097679B"/>
    <w:rsid w:val="00977110"/>
    <w:rsid w:val="00977741"/>
    <w:rsid w:val="009778E2"/>
    <w:rsid w:val="00977E92"/>
    <w:rsid w:val="00981851"/>
    <w:rsid w:val="00982A28"/>
    <w:rsid w:val="00983C92"/>
    <w:rsid w:val="00986700"/>
    <w:rsid w:val="00987B45"/>
    <w:rsid w:val="0099203E"/>
    <w:rsid w:val="00992455"/>
    <w:rsid w:val="00994D26"/>
    <w:rsid w:val="00995FA0"/>
    <w:rsid w:val="00996122"/>
    <w:rsid w:val="00996695"/>
    <w:rsid w:val="00996E7C"/>
    <w:rsid w:val="00997B23"/>
    <w:rsid w:val="009A0EFB"/>
    <w:rsid w:val="009A4261"/>
    <w:rsid w:val="009A4C4B"/>
    <w:rsid w:val="009A60FD"/>
    <w:rsid w:val="009A656C"/>
    <w:rsid w:val="009A7921"/>
    <w:rsid w:val="009A7B1A"/>
    <w:rsid w:val="009B2980"/>
    <w:rsid w:val="009B35CE"/>
    <w:rsid w:val="009B674C"/>
    <w:rsid w:val="009B7859"/>
    <w:rsid w:val="009C12A9"/>
    <w:rsid w:val="009C16EF"/>
    <w:rsid w:val="009C28FB"/>
    <w:rsid w:val="009C2B58"/>
    <w:rsid w:val="009C3FCE"/>
    <w:rsid w:val="009C6175"/>
    <w:rsid w:val="009C7AAA"/>
    <w:rsid w:val="009D040A"/>
    <w:rsid w:val="009D1153"/>
    <w:rsid w:val="009D18CA"/>
    <w:rsid w:val="009D1A15"/>
    <w:rsid w:val="009D1BAD"/>
    <w:rsid w:val="009D1FE2"/>
    <w:rsid w:val="009D2FBC"/>
    <w:rsid w:val="009D378D"/>
    <w:rsid w:val="009D4DA2"/>
    <w:rsid w:val="009D5CBE"/>
    <w:rsid w:val="009D6100"/>
    <w:rsid w:val="009D7B15"/>
    <w:rsid w:val="009E0525"/>
    <w:rsid w:val="009E0AD2"/>
    <w:rsid w:val="009E0F9C"/>
    <w:rsid w:val="009E1442"/>
    <w:rsid w:val="009E1B67"/>
    <w:rsid w:val="009E237B"/>
    <w:rsid w:val="009E2EA0"/>
    <w:rsid w:val="009E35AB"/>
    <w:rsid w:val="009E4FD1"/>
    <w:rsid w:val="009E572A"/>
    <w:rsid w:val="009E5A2E"/>
    <w:rsid w:val="009E6030"/>
    <w:rsid w:val="009E6928"/>
    <w:rsid w:val="009E71C9"/>
    <w:rsid w:val="009F034A"/>
    <w:rsid w:val="009F16D5"/>
    <w:rsid w:val="009F2E79"/>
    <w:rsid w:val="009F387E"/>
    <w:rsid w:val="009F7CFA"/>
    <w:rsid w:val="00A01808"/>
    <w:rsid w:val="00A01FB3"/>
    <w:rsid w:val="00A028ED"/>
    <w:rsid w:val="00A053DD"/>
    <w:rsid w:val="00A06118"/>
    <w:rsid w:val="00A06496"/>
    <w:rsid w:val="00A064C2"/>
    <w:rsid w:val="00A07A2B"/>
    <w:rsid w:val="00A1307E"/>
    <w:rsid w:val="00A15052"/>
    <w:rsid w:val="00A16B38"/>
    <w:rsid w:val="00A171D3"/>
    <w:rsid w:val="00A17460"/>
    <w:rsid w:val="00A17940"/>
    <w:rsid w:val="00A21596"/>
    <w:rsid w:val="00A21C2B"/>
    <w:rsid w:val="00A23087"/>
    <w:rsid w:val="00A23553"/>
    <w:rsid w:val="00A2653B"/>
    <w:rsid w:val="00A26DEA"/>
    <w:rsid w:val="00A279F2"/>
    <w:rsid w:val="00A33B6F"/>
    <w:rsid w:val="00A37197"/>
    <w:rsid w:val="00A37DAE"/>
    <w:rsid w:val="00A414BF"/>
    <w:rsid w:val="00A424CB"/>
    <w:rsid w:val="00A43617"/>
    <w:rsid w:val="00A451C8"/>
    <w:rsid w:val="00A45382"/>
    <w:rsid w:val="00A45937"/>
    <w:rsid w:val="00A4633F"/>
    <w:rsid w:val="00A4641D"/>
    <w:rsid w:val="00A46703"/>
    <w:rsid w:val="00A46A0C"/>
    <w:rsid w:val="00A46C13"/>
    <w:rsid w:val="00A50034"/>
    <w:rsid w:val="00A511AD"/>
    <w:rsid w:val="00A51C5C"/>
    <w:rsid w:val="00A52D39"/>
    <w:rsid w:val="00A53081"/>
    <w:rsid w:val="00A54518"/>
    <w:rsid w:val="00A550EC"/>
    <w:rsid w:val="00A55CCA"/>
    <w:rsid w:val="00A57A36"/>
    <w:rsid w:val="00A61EF6"/>
    <w:rsid w:val="00A62A40"/>
    <w:rsid w:val="00A62B5B"/>
    <w:rsid w:val="00A638EB"/>
    <w:rsid w:val="00A63B39"/>
    <w:rsid w:val="00A645D9"/>
    <w:rsid w:val="00A67A65"/>
    <w:rsid w:val="00A726C4"/>
    <w:rsid w:val="00A7331C"/>
    <w:rsid w:val="00A741E3"/>
    <w:rsid w:val="00A75868"/>
    <w:rsid w:val="00A76519"/>
    <w:rsid w:val="00A76594"/>
    <w:rsid w:val="00A76B24"/>
    <w:rsid w:val="00A76CAE"/>
    <w:rsid w:val="00A77BA8"/>
    <w:rsid w:val="00A83992"/>
    <w:rsid w:val="00A8503F"/>
    <w:rsid w:val="00A86399"/>
    <w:rsid w:val="00A87A30"/>
    <w:rsid w:val="00A907E9"/>
    <w:rsid w:val="00A917EE"/>
    <w:rsid w:val="00A91B1F"/>
    <w:rsid w:val="00A9358F"/>
    <w:rsid w:val="00A936C1"/>
    <w:rsid w:val="00A94FF4"/>
    <w:rsid w:val="00A9547A"/>
    <w:rsid w:val="00A96FCE"/>
    <w:rsid w:val="00A97957"/>
    <w:rsid w:val="00A97978"/>
    <w:rsid w:val="00AA0B04"/>
    <w:rsid w:val="00AA0F8E"/>
    <w:rsid w:val="00AA1A89"/>
    <w:rsid w:val="00AA1F50"/>
    <w:rsid w:val="00AA33C7"/>
    <w:rsid w:val="00AA4C94"/>
    <w:rsid w:val="00AA6397"/>
    <w:rsid w:val="00AA7B74"/>
    <w:rsid w:val="00AB0809"/>
    <w:rsid w:val="00AB13CE"/>
    <w:rsid w:val="00AB3AFE"/>
    <w:rsid w:val="00AB4528"/>
    <w:rsid w:val="00AB5864"/>
    <w:rsid w:val="00AB5CC9"/>
    <w:rsid w:val="00AC1DB9"/>
    <w:rsid w:val="00AC1F06"/>
    <w:rsid w:val="00AC261C"/>
    <w:rsid w:val="00AC2736"/>
    <w:rsid w:val="00AC425D"/>
    <w:rsid w:val="00AC5505"/>
    <w:rsid w:val="00AC5736"/>
    <w:rsid w:val="00AC72F6"/>
    <w:rsid w:val="00AD1E5E"/>
    <w:rsid w:val="00AD3404"/>
    <w:rsid w:val="00AD432E"/>
    <w:rsid w:val="00AD4D66"/>
    <w:rsid w:val="00AD61B5"/>
    <w:rsid w:val="00AD66CE"/>
    <w:rsid w:val="00AD78F9"/>
    <w:rsid w:val="00AE01EC"/>
    <w:rsid w:val="00AE0A6D"/>
    <w:rsid w:val="00AE4B98"/>
    <w:rsid w:val="00AE5E41"/>
    <w:rsid w:val="00AE7A04"/>
    <w:rsid w:val="00AE7BD8"/>
    <w:rsid w:val="00AE7EC9"/>
    <w:rsid w:val="00AF05C8"/>
    <w:rsid w:val="00AF0B03"/>
    <w:rsid w:val="00AF1A7A"/>
    <w:rsid w:val="00AF1AE2"/>
    <w:rsid w:val="00AF21BD"/>
    <w:rsid w:val="00AF2E18"/>
    <w:rsid w:val="00AF397C"/>
    <w:rsid w:val="00AF3BAB"/>
    <w:rsid w:val="00AF431D"/>
    <w:rsid w:val="00AF48AC"/>
    <w:rsid w:val="00AF4C44"/>
    <w:rsid w:val="00AF52E8"/>
    <w:rsid w:val="00AF6501"/>
    <w:rsid w:val="00AF7D55"/>
    <w:rsid w:val="00B00C0B"/>
    <w:rsid w:val="00B0215E"/>
    <w:rsid w:val="00B029A2"/>
    <w:rsid w:val="00B06164"/>
    <w:rsid w:val="00B06530"/>
    <w:rsid w:val="00B06630"/>
    <w:rsid w:val="00B10BB3"/>
    <w:rsid w:val="00B10BBC"/>
    <w:rsid w:val="00B129B5"/>
    <w:rsid w:val="00B12CE2"/>
    <w:rsid w:val="00B16240"/>
    <w:rsid w:val="00B1711A"/>
    <w:rsid w:val="00B20129"/>
    <w:rsid w:val="00B20A5A"/>
    <w:rsid w:val="00B20FFD"/>
    <w:rsid w:val="00B21B6E"/>
    <w:rsid w:val="00B23E0C"/>
    <w:rsid w:val="00B2606A"/>
    <w:rsid w:val="00B3054A"/>
    <w:rsid w:val="00B30FAE"/>
    <w:rsid w:val="00B31AEB"/>
    <w:rsid w:val="00B35DE1"/>
    <w:rsid w:val="00B36E0D"/>
    <w:rsid w:val="00B37619"/>
    <w:rsid w:val="00B40686"/>
    <w:rsid w:val="00B4128A"/>
    <w:rsid w:val="00B418CB"/>
    <w:rsid w:val="00B41B04"/>
    <w:rsid w:val="00B41B9D"/>
    <w:rsid w:val="00B427F0"/>
    <w:rsid w:val="00B44EE3"/>
    <w:rsid w:val="00B45504"/>
    <w:rsid w:val="00B457CB"/>
    <w:rsid w:val="00B46FF6"/>
    <w:rsid w:val="00B502CC"/>
    <w:rsid w:val="00B50F6D"/>
    <w:rsid w:val="00B5225F"/>
    <w:rsid w:val="00B52454"/>
    <w:rsid w:val="00B54E5E"/>
    <w:rsid w:val="00B57A98"/>
    <w:rsid w:val="00B60749"/>
    <w:rsid w:val="00B6121B"/>
    <w:rsid w:val="00B613F7"/>
    <w:rsid w:val="00B62B96"/>
    <w:rsid w:val="00B64A8D"/>
    <w:rsid w:val="00B65782"/>
    <w:rsid w:val="00B662FE"/>
    <w:rsid w:val="00B666E6"/>
    <w:rsid w:val="00B6738C"/>
    <w:rsid w:val="00B673C6"/>
    <w:rsid w:val="00B67B4F"/>
    <w:rsid w:val="00B70D39"/>
    <w:rsid w:val="00B73106"/>
    <w:rsid w:val="00B731CB"/>
    <w:rsid w:val="00B742F1"/>
    <w:rsid w:val="00B74B4A"/>
    <w:rsid w:val="00B74DAA"/>
    <w:rsid w:val="00B75979"/>
    <w:rsid w:val="00B767BC"/>
    <w:rsid w:val="00B76A53"/>
    <w:rsid w:val="00B76EB2"/>
    <w:rsid w:val="00B77179"/>
    <w:rsid w:val="00B80EEF"/>
    <w:rsid w:val="00B81240"/>
    <w:rsid w:val="00B82BC9"/>
    <w:rsid w:val="00B82D53"/>
    <w:rsid w:val="00B83F38"/>
    <w:rsid w:val="00B84756"/>
    <w:rsid w:val="00B84991"/>
    <w:rsid w:val="00B8703F"/>
    <w:rsid w:val="00B90780"/>
    <w:rsid w:val="00B91925"/>
    <w:rsid w:val="00B91DAA"/>
    <w:rsid w:val="00B92A2D"/>
    <w:rsid w:val="00B94D4E"/>
    <w:rsid w:val="00B97AA7"/>
    <w:rsid w:val="00BA18FF"/>
    <w:rsid w:val="00BA2234"/>
    <w:rsid w:val="00BA2F06"/>
    <w:rsid w:val="00BA4BBC"/>
    <w:rsid w:val="00BA5415"/>
    <w:rsid w:val="00BA5AF5"/>
    <w:rsid w:val="00BA5C02"/>
    <w:rsid w:val="00BA5C4E"/>
    <w:rsid w:val="00BA631F"/>
    <w:rsid w:val="00BA731D"/>
    <w:rsid w:val="00BA763A"/>
    <w:rsid w:val="00BB09E0"/>
    <w:rsid w:val="00BB1252"/>
    <w:rsid w:val="00BB2D9C"/>
    <w:rsid w:val="00BB379F"/>
    <w:rsid w:val="00BB3E2D"/>
    <w:rsid w:val="00BB43DB"/>
    <w:rsid w:val="00BB780B"/>
    <w:rsid w:val="00BC1691"/>
    <w:rsid w:val="00BC2752"/>
    <w:rsid w:val="00BC2AAB"/>
    <w:rsid w:val="00BC4DE6"/>
    <w:rsid w:val="00BC7136"/>
    <w:rsid w:val="00BD088A"/>
    <w:rsid w:val="00BD10A6"/>
    <w:rsid w:val="00BD1564"/>
    <w:rsid w:val="00BD164E"/>
    <w:rsid w:val="00BD20AB"/>
    <w:rsid w:val="00BD26FE"/>
    <w:rsid w:val="00BD63C9"/>
    <w:rsid w:val="00BE0610"/>
    <w:rsid w:val="00BE15A3"/>
    <w:rsid w:val="00BE1EE7"/>
    <w:rsid w:val="00BE28B2"/>
    <w:rsid w:val="00BE2EDA"/>
    <w:rsid w:val="00BE61FB"/>
    <w:rsid w:val="00BE6DE1"/>
    <w:rsid w:val="00BE6E13"/>
    <w:rsid w:val="00BE74F6"/>
    <w:rsid w:val="00BE7746"/>
    <w:rsid w:val="00BF09C9"/>
    <w:rsid w:val="00BF2B59"/>
    <w:rsid w:val="00BF31A9"/>
    <w:rsid w:val="00BF34BE"/>
    <w:rsid w:val="00BF3BAC"/>
    <w:rsid w:val="00BF5107"/>
    <w:rsid w:val="00BF57B1"/>
    <w:rsid w:val="00BF6C29"/>
    <w:rsid w:val="00BF6D9D"/>
    <w:rsid w:val="00BF713E"/>
    <w:rsid w:val="00C02AE0"/>
    <w:rsid w:val="00C034B4"/>
    <w:rsid w:val="00C043DE"/>
    <w:rsid w:val="00C0662C"/>
    <w:rsid w:val="00C07F14"/>
    <w:rsid w:val="00C12A72"/>
    <w:rsid w:val="00C12B2F"/>
    <w:rsid w:val="00C136CA"/>
    <w:rsid w:val="00C1497B"/>
    <w:rsid w:val="00C159B6"/>
    <w:rsid w:val="00C17CB8"/>
    <w:rsid w:val="00C22001"/>
    <w:rsid w:val="00C229B4"/>
    <w:rsid w:val="00C22C98"/>
    <w:rsid w:val="00C258A5"/>
    <w:rsid w:val="00C2715B"/>
    <w:rsid w:val="00C27481"/>
    <w:rsid w:val="00C30059"/>
    <w:rsid w:val="00C31B2F"/>
    <w:rsid w:val="00C34130"/>
    <w:rsid w:val="00C345DC"/>
    <w:rsid w:val="00C35065"/>
    <w:rsid w:val="00C36EF9"/>
    <w:rsid w:val="00C3794C"/>
    <w:rsid w:val="00C43749"/>
    <w:rsid w:val="00C43D9D"/>
    <w:rsid w:val="00C461A7"/>
    <w:rsid w:val="00C47AE3"/>
    <w:rsid w:val="00C503F4"/>
    <w:rsid w:val="00C50658"/>
    <w:rsid w:val="00C53055"/>
    <w:rsid w:val="00C53854"/>
    <w:rsid w:val="00C53942"/>
    <w:rsid w:val="00C550F5"/>
    <w:rsid w:val="00C55E7F"/>
    <w:rsid w:val="00C5635E"/>
    <w:rsid w:val="00C567E9"/>
    <w:rsid w:val="00C607CA"/>
    <w:rsid w:val="00C61FA7"/>
    <w:rsid w:val="00C622C8"/>
    <w:rsid w:val="00C62779"/>
    <w:rsid w:val="00C62943"/>
    <w:rsid w:val="00C62C49"/>
    <w:rsid w:val="00C63C2E"/>
    <w:rsid w:val="00C646A4"/>
    <w:rsid w:val="00C65210"/>
    <w:rsid w:val="00C704C3"/>
    <w:rsid w:val="00C705A5"/>
    <w:rsid w:val="00C71CE3"/>
    <w:rsid w:val="00C73AC6"/>
    <w:rsid w:val="00C742D6"/>
    <w:rsid w:val="00C74BD0"/>
    <w:rsid w:val="00C750B4"/>
    <w:rsid w:val="00C755B5"/>
    <w:rsid w:val="00C76332"/>
    <w:rsid w:val="00C775A8"/>
    <w:rsid w:val="00C779D1"/>
    <w:rsid w:val="00C80440"/>
    <w:rsid w:val="00C825FA"/>
    <w:rsid w:val="00C831EA"/>
    <w:rsid w:val="00C866A0"/>
    <w:rsid w:val="00C87934"/>
    <w:rsid w:val="00C906FD"/>
    <w:rsid w:val="00C93331"/>
    <w:rsid w:val="00C93FD6"/>
    <w:rsid w:val="00C96A6C"/>
    <w:rsid w:val="00CA1498"/>
    <w:rsid w:val="00CA20FD"/>
    <w:rsid w:val="00CA3149"/>
    <w:rsid w:val="00CA3FEE"/>
    <w:rsid w:val="00CA4854"/>
    <w:rsid w:val="00CA5E58"/>
    <w:rsid w:val="00CA6B99"/>
    <w:rsid w:val="00CA73E5"/>
    <w:rsid w:val="00CA7645"/>
    <w:rsid w:val="00CB3D0F"/>
    <w:rsid w:val="00CB45CA"/>
    <w:rsid w:val="00CB49AE"/>
    <w:rsid w:val="00CB677B"/>
    <w:rsid w:val="00CB6969"/>
    <w:rsid w:val="00CB709C"/>
    <w:rsid w:val="00CB7DB4"/>
    <w:rsid w:val="00CC0187"/>
    <w:rsid w:val="00CC0612"/>
    <w:rsid w:val="00CC0B68"/>
    <w:rsid w:val="00CC0C8F"/>
    <w:rsid w:val="00CC1F1E"/>
    <w:rsid w:val="00CC35DC"/>
    <w:rsid w:val="00CC3BE2"/>
    <w:rsid w:val="00CC50D2"/>
    <w:rsid w:val="00CC5D70"/>
    <w:rsid w:val="00CD0D14"/>
    <w:rsid w:val="00CD1127"/>
    <w:rsid w:val="00CD16DE"/>
    <w:rsid w:val="00CD1B61"/>
    <w:rsid w:val="00CD1DF6"/>
    <w:rsid w:val="00CD2056"/>
    <w:rsid w:val="00CD396A"/>
    <w:rsid w:val="00CD4057"/>
    <w:rsid w:val="00CD4F14"/>
    <w:rsid w:val="00CE176E"/>
    <w:rsid w:val="00CE4196"/>
    <w:rsid w:val="00CE55B7"/>
    <w:rsid w:val="00CE56B6"/>
    <w:rsid w:val="00CE58BF"/>
    <w:rsid w:val="00CE603B"/>
    <w:rsid w:val="00CE6F35"/>
    <w:rsid w:val="00CE70DC"/>
    <w:rsid w:val="00CF0792"/>
    <w:rsid w:val="00CF07C4"/>
    <w:rsid w:val="00CF0BFF"/>
    <w:rsid w:val="00CF0C90"/>
    <w:rsid w:val="00CF2F04"/>
    <w:rsid w:val="00CF3258"/>
    <w:rsid w:val="00CF409C"/>
    <w:rsid w:val="00CF4CB9"/>
    <w:rsid w:val="00CF51FA"/>
    <w:rsid w:val="00D010DF"/>
    <w:rsid w:val="00D01939"/>
    <w:rsid w:val="00D028CB"/>
    <w:rsid w:val="00D02E61"/>
    <w:rsid w:val="00D03BAA"/>
    <w:rsid w:val="00D04189"/>
    <w:rsid w:val="00D04814"/>
    <w:rsid w:val="00D04C46"/>
    <w:rsid w:val="00D0560E"/>
    <w:rsid w:val="00D10462"/>
    <w:rsid w:val="00D107EA"/>
    <w:rsid w:val="00D10BC3"/>
    <w:rsid w:val="00D111D7"/>
    <w:rsid w:val="00D12A77"/>
    <w:rsid w:val="00D13E36"/>
    <w:rsid w:val="00D13EC7"/>
    <w:rsid w:val="00D14ABF"/>
    <w:rsid w:val="00D20A26"/>
    <w:rsid w:val="00D23F76"/>
    <w:rsid w:val="00D256F3"/>
    <w:rsid w:val="00D25E2F"/>
    <w:rsid w:val="00D26198"/>
    <w:rsid w:val="00D26FAA"/>
    <w:rsid w:val="00D313F2"/>
    <w:rsid w:val="00D3290C"/>
    <w:rsid w:val="00D32BBD"/>
    <w:rsid w:val="00D32E8A"/>
    <w:rsid w:val="00D33579"/>
    <w:rsid w:val="00D33BC7"/>
    <w:rsid w:val="00D33EF5"/>
    <w:rsid w:val="00D362FC"/>
    <w:rsid w:val="00D37274"/>
    <w:rsid w:val="00D379DF"/>
    <w:rsid w:val="00D40E02"/>
    <w:rsid w:val="00D4128A"/>
    <w:rsid w:val="00D412FD"/>
    <w:rsid w:val="00D418F2"/>
    <w:rsid w:val="00D41D68"/>
    <w:rsid w:val="00D42FC7"/>
    <w:rsid w:val="00D44877"/>
    <w:rsid w:val="00D44B6F"/>
    <w:rsid w:val="00D4691D"/>
    <w:rsid w:val="00D5111A"/>
    <w:rsid w:val="00D516FA"/>
    <w:rsid w:val="00D51B85"/>
    <w:rsid w:val="00D51F62"/>
    <w:rsid w:val="00D52589"/>
    <w:rsid w:val="00D5348D"/>
    <w:rsid w:val="00D61CAD"/>
    <w:rsid w:val="00D638A4"/>
    <w:rsid w:val="00D6591C"/>
    <w:rsid w:val="00D667F7"/>
    <w:rsid w:val="00D711C4"/>
    <w:rsid w:val="00D717CF"/>
    <w:rsid w:val="00D72333"/>
    <w:rsid w:val="00D74F22"/>
    <w:rsid w:val="00D751CB"/>
    <w:rsid w:val="00D753F2"/>
    <w:rsid w:val="00D75C50"/>
    <w:rsid w:val="00D75E39"/>
    <w:rsid w:val="00D80A82"/>
    <w:rsid w:val="00D81263"/>
    <w:rsid w:val="00D81666"/>
    <w:rsid w:val="00D81709"/>
    <w:rsid w:val="00D838C1"/>
    <w:rsid w:val="00D85221"/>
    <w:rsid w:val="00D85B0E"/>
    <w:rsid w:val="00D904DF"/>
    <w:rsid w:val="00D908FD"/>
    <w:rsid w:val="00D92CF7"/>
    <w:rsid w:val="00D93437"/>
    <w:rsid w:val="00D94AA6"/>
    <w:rsid w:val="00DA0FE3"/>
    <w:rsid w:val="00DA11BA"/>
    <w:rsid w:val="00DA14B1"/>
    <w:rsid w:val="00DA28CB"/>
    <w:rsid w:val="00DA3189"/>
    <w:rsid w:val="00DA5708"/>
    <w:rsid w:val="00DA669D"/>
    <w:rsid w:val="00DA739B"/>
    <w:rsid w:val="00DA74A5"/>
    <w:rsid w:val="00DA7844"/>
    <w:rsid w:val="00DB137A"/>
    <w:rsid w:val="00DB1589"/>
    <w:rsid w:val="00DB325C"/>
    <w:rsid w:val="00DB456E"/>
    <w:rsid w:val="00DB5041"/>
    <w:rsid w:val="00DB6DA9"/>
    <w:rsid w:val="00DC002A"/>
    <w:rsid w:val="00DC180D"/>
    <w:rsid w:val="00DC1F6E"/>
    <w:rsid w:val="00DC4277"/>
    <w:rsid w:val="00DC529E"/>
    <w:rsid w:val="00DC6329"/>
    <w:rsid w:val="00DC63FD"/>
    <w:rsid w:val="00DD140F"/>
    <w:rsid w:val="00DD2AA5"/>
    <w:rsid w:val="00DD3453"/>
    <w:rsid w:val="00DD44E3"/>
    <w:rsid w:val="00DD45D3"/>
    <w:rsid w:val="00DD4998"/>
    <w:rsid w:val="00DD5764"/>
    <w:rsid w:val="00DD59DC"/>
    <w:rsid w:val="00DD5BD2"/>
    <w:rsid w:val="00DD65EC"/>
    <w:rsid w:val="00DD6D0B"/>
    <w:rsid w:val="00DD70D8"/>
    <w:rsid w:val="00DE0E26"/>
    <w:rsid w:val="00DE1364"/>
    <w:rsid w:val="00DE136D"/>
    <w:rsid w:val="00DE21DA"/>
    <w:rsid w:val="00DE26CD"/>
    <w:rsid w:val="00DE29FA"/>
    <w:rsid w:val="00DE2C93"/>
    <w:rsid w:val="00DE2CE5"/>
    <w:rsid w:val="00DE3073"/>
    <w:rsid w:val="00DE774F"/>
    <w:rsid w:val="00DE7AC3"/>
    <w:rsid w:val="00DF0343"/>
    <w:rsid w:val="00DF0A1F"/>
    <w:rsid w:val="00DF36CE"/>
    <w:rsid w:val="00DF5882"/>
    <w:rsid w:val="00DF5A72"/>
    <w:rsid w:val="00E03C0E"/>
    <w:rsid w:val="00E04411"/>
    <w:rsid w:val="00E04763"/>
    <w:rsid w:val="00E04CB0"/>
    <w:rsid w:val="00E050B7"/>
    <w:rsid w:val="00E05390"/>
    <w:rsid w:val="00E055B3"/>
    <w:rsid w:val="00E0646A"/>
    <w:rsid w:val="00E07033"/>
    <w:rsid w:val="00E10A40"/>
    <w:rsid w:val="00E11515"/>
    <w:rsid w:val="00E1443D"/>
    <w:rsid w:val="00E14772"/>
    <w:rsid w:val="00E148A6"/>
    <w:rsid w:val="00E14B13"/>
    <w:rsid w:val="00E14CAC"/>
    <w:rsid w:val="00E15285"/>
    <w:rsid w:val="00E20BF7"/>
    <w:rsid w:val="00E21168"/>
    <w:rsid w:val="00E2623D"/>
    <w:rsid w:val="00E26B20"/>
    <w:rsid w:val="00E31208"/>
    <w:rsid w:val="00E32022"/>
    <w:rsid w:val="00E32CF2"/>
    <w:rsid w:val="00E34A12"/>
    <w:rsid w:val="00E3504F"/>
    <w:rsid w:val="00E3581A"/>
    <w:rsid w:val="00E360C9"/>
    <w:rsid w:val="00E40D4D"/>
    <w:rsid w:val="00E42C7E"/>
    <w:rsid w:val="00E44CB2"/>
    <w:rsid w:val="00E44E62"/>
    <w:rsid w:val="00E456AA"/>
    <w:rsid w:val="00E465C4"/>
    <w:rsid w:val="00E5109E"/>
    <w:rsid w:val="00E53175"/>
    <w:rsid w:val="00E53B49"/>
    <w:rsid w:val="00E549FD"/>
    <w:rsid w:val="00E54BDD"/>
    <w:rsid w:val="00E55DFD"/>
    <w:rsid w:val="00E56B2B"/>
    <w:rsid w:val="00E57468"/>
    <w:rsid w:val="00E578C6"/>
    <w:rsid w:val="00E57EE8"/>
    <w:rsid w:val="00E6167E"/>
    <w:rsid w:val="00E62694"/>
    <w:rsid w:val="00E65162"/>
    <w:rsid w:val="00E656E4"/>
    <w:rsid w:val="00E65938"/>
    <w:rsid w:val="00E65A6E"/>
    <w:rsid w:val="00E663E3"/>
    <w:rsid w:val="00E66668"/>
    <w:rsid w:val="00E67875"/>
    <w:rsid w:val="00E718F6"/>
    <w:rsid w:val="00E71956"/>
    <w:rsid w:val="00E719A0"/>
    <w:rsid w:val="00E733B5"/>
    <w:rsid w:val="00E73DCA"/>
    <w:rsid w:val="00E73FCC"/>
    <w:rsid w:val="00E743E6"/>
    <w:rsid w:val="00E76972"/>
    <w:rsid w:val="00E76CB1"/>
    <w:rsid w:val="00E774E9"/>
    <w:rsid w:val="00E7784B"/>
    <w:rsid w:val="00E8085D"/>
    <w:rsid w:val="00E814A0"/>
    <w:rsid w:val="00E8319A"/>
    <w:rsid w:val="00E835CA"/>
    <w:rsid w:val="00E83D5A"/>
    <w:rsid w:val="00E842F6"/>
    <w:rsid w:val="00E84457"/>
    <w:rsid w:val="00E84712"/>
    <w:rsid w:val="00E850AB"/>
    <w:rsid w:val="00E869D5"/>
    <w:rsid w:val="00E90759"/>
    <w:rsid w:val="00E90F05"/>
    <w:rsid w:val="00E91F3D"/>
    <w:rsid w:val="00E92D29"/>
    <w:rsid w:val="00E945D1"/>
    <w:rsid w:val="00E95B3F"/>
    <w:rsid w:val="00E96375"/>
    <w:rsid w:val="00EA1EAC"/>
    <w:rsid w:val="00EA2FEC"/>
    <w:rsid w:val="00EA4091"/>
    <w:rsid w:val="00EA4A0B"/>
    <w:rsid w:val="00EA4D81"/>
    <w:rsid w:val="00EA6015"/>
    <w:rsid w:val="00EA6BB1"/>
    <w:rsid w:val="00EB1C6E"/>
    <w:rsid w:val="00EB260C"/>
    <w:rsid w:val="00EB38DE"/>
    <w:rsid w:val="00EB79AC"/>
    <w:rsid w:val="00EBE95E"/>
    <w:rsid w:val="00EC2245"/>
    <w:rsid w:val="00EC2714"/>
    <w:rsid w:val="00EC2963"/>
    <w:rsid w:val="00EC369B"/>
    <w:rsid w:val="00EC43F2"/>
    <w:rsid w:val="00EC4667"/>
    <w:rsid w:val="00EC46A9"/>
    <w:rsid w:val="00EC4951"/>
    <w:rsid w:val="00EC4D92"/>
    <w:rsid w:val="00EC5F8C"/>
    <w:rsid w:val="00EC628D"/>
    <w:rsid w:val="00EC7195"/>
    <w:rsid w:val="00EC743A"/>
    <w:rsid w:val="00EC745B"/>
    <w:rsid w:val="00ED12C7"/>
    <w:rsid w:val="00ED1823"/>
    <w:rsid w:val="00ED324C"/>
    <w:rsid w:val="00ED36A1"/>
    <w:rsid w:val="00ED75E1"/>
    <w:rsid w:val="00ED7ED9"/>
    <w:rsid w:val="00EE08C3"/>
    <w:rsid w:val="00EE0F95"/>
    <w:rsid w:val="00EE31A5"/>
    <w:rsid w:val="00EE45B2"/>
    <w:rsid w:val="00EE5853"/>
    <w:rsid w:val="00EE597C"/>
    <w:rsid w:val="00EE63D4"/>
    <w:rsid w:val="00EE68CB"/>
    <w:rsid w:val="00EF0043"/>
    <w:rsid w:val="00EF0118"/>
    <w:rsid w:val="00EF0766"/>
    <w:rsid w:val="00EF0900"/>
    <w:rsid w:val="00EF3107"/>
    <w:rsid w:val="00EF3DE3"/>
    <w:rsid w:val="00EF456F"/>
    <w:rsid w:val="00EF4D33"/>
    <w:rsid w:val="00EF72E0"/>
    <w:rsid w:val="00EF7624"/>
    <w:rsid w:val="00EF78B7"/>
    <w:rsid w:val="00F00EDA"/>
    <w:rsid w:val="00F01925"/>
    <w:rsid w:val="00F01EC7"/>
    <w:rsid w:val="00F02C13"/>
    <w:rsid w:val="00F0455C"/>
    <w:rsid w:val="00F0499E"/>
    <w:rsid w:val="00F05426"/>
    <w:rsid w:val="00F06376"/>
    <w:rsid w:val="00F07F2A"/>
    <w:rsid w:val="00F10178"/>
    <w:rsid w:val="00F12039"/>
    <w:rsid w:val="00F13083"/>
    <w:rsid w:val="00F14ADE"/>
    <w:rsid w:val="00F14FAE"/>
    <w:rsid w:val="00F15388"/>
    <w:rsid w:val="00F16DF8"/>
    <w:rsid w:val="00F17006"/>
    <w:rsid w:val="00F1724E"/>
    <w:rsid w:val="00F176CF"/>
    <w:rsid w:val="00F176E9"/>
    <w:rsid w:val="00F256FB"/>
    <w:rsid w:val="00F25E8B"/>
    <w:rsid w:val="00F266EE"/>
    <w:rsid w:val="00F27272"/>
    <w:rsid w:val="00F27E13"/>
    <w:rsid w:val="00F30E97"/>
    <w:rsid w:val="00F323FF"/>
    <w:rsid w:val="00F40969"/>
    <w:rsid w:val="00F40F40"/>
    <w:rsid w:val="00F42650"/>
    <w:rsid w:val="00F43B91"/>
    <w:rsid w:val="00F46F9D"/>
    <w:rsid w:val="00F500B1"/>
    <w:rsid w:val="00F50A2C"/>
    <w:rsid w:val="00F52D6C"/>
    <w:rsid w:val="00F53C77"/>
    <w:rsid w:val="00F60E03"/>
    <w:rsid w:val="00F61CE3"/>
    <w:rsid w:val="00F64A9B"/>
    <w:rsid w:val="00F65134"/>
    <w:rsid w:val="00F66634"/>
    <w:rsid w:val="00F66CCB"/>
    <w:rsid w:val="00F67958"/>
    <w:rsid w:val="00F679F1"/>
    <w:rsid w:val="00F67C2A"/>
    <w:rsid w:val="00F70520"/>
    <w:rsid w:val="00F70B17"/>
    <w:rsid w:val="00F72AB5"/>
    <w:rsid w:val="00F72F08"/>
    <w:rsid w:val="00F732AD"/>
    <w:rsid w:val="00F73549"/>
    <w:rsid w:val="00F73992"/>
    <w:rsid w:val="00F7455F"/>
    <w:rsid w:val="00F74DE4"/>
    <w:rsid w:val="00F75499"/>
    <w:rsid w:val="00F76374"/>
    <w:rsid w:val="00F7721E"/>
    <w:rsid w:val="00F81252"/>
    <w:rsid w:val="00F824B4"/>
    <w:rsid w:val="00F84F2D"/>
    <w:rsid w:val="00F850B5"/>
    <w:rsid w:val="00F86E25"/>
    <w:rsid w:val="00F8759B"/>
    <w:rsid w:val="00F95F55"/>
    <w:rsid w:val="00F962C0"/>
    <w:rsid w:val="00FA26DA"/>
    <w:rsid w:val="00FA73FC"/>
    <w:rsid w:val="00FA78F3"/>
    <w:rsid w:val="00FB08F9"/>
    <w:rsid w:val="00FB1AF5"/>
    <w:rsid w:val="00FB26D2"/>
    <w:rsid w:val="00FB3580"/>
    <w:rsid w:val="00FB3EA1"/>
    <w:rsid w:val="00FB5309"/>
    <w:rsid w:val="00FB64D2"/>
    <w:rsid w:val="00FB6F8B"/>
    <w:rsid w:val="00FB6FA3"/>
    <w:rsid w:val="00FB753B"/>
    <w:rsid w:val="00FB7B23"/>
    <w:rsid w:val="00FC074B"/>
    <w:rsid w:val="00FC2341"/>
    <w:rsid w:val="00FC3FED"/>
    <w:rsid w:val="00FC4571"/>
    <w:rsid w:val="00FC5165"/>
    <w:rsid w:val="00FC5363"/>
    <w:rsid w:val="00FC5AB0"/>
    <w:rsid w:val="00FC60C0"/>
    <w:rsid w:val="00FD0C39"/>
    <w:rsid w:val="00FD25D8"/>
    <w:rsid w:val="00FD5954"/>
    <w:rsid w:val="00FD6376"/>
    <w:rsid w:val="00FE1CCC"/>
    <w:rsid w:val="00FE3A4A"/>
    <w:rsid w:val="00FE41FF"/>
    <w:rsid w:val="00FE5D3D"/>
    <w:rsid w:val="00FF015D"/>
    <w:rsid w:val="00FF2E85"/>
    <w:rsid w:val="00FF4C45"/>
    <w:rsid w:val="00FF4E3D"/>
    <w:rsid w:val="00FF5010"/>
    <w:rsid w:val="00FF50BF"/>
    <w:rsid w:val="01B08B4E"/>
    <w:rsid w:val="01BFF525"/>
    <w:rsid w:val="01DE9B2E"/>
    <w:rsid w:val="027DD581"/>
    <w:rsid w:val="032A9A1F"/>
    <w:rsid w:val="03A9BB36"/>
    <w:rsid w:val="04008E6D"/>
    <w:rsid w:val="042577E3"/>
    <w:rsid w:val="0490F942"/>
    <w:rsid w:val="04A69247"/>
    <w:rsid w:val="059C5ECE"/>
    <w:rsid w:val="060D7E5E"/>
    <w:rsid w:val="069D24CE"/>
    <w:rsid w:val="06BAF453"/>
    <w:rsid w:val="074754DF"/>
    <w:rsid w:val="075A1BFD"/>
    <w:rsid w:val="07D11858"/>
    <w:rsid w:val="0856ABAF"/>
    <w:rsid w:val="085949B3"/>
    <w:rsid w:val="0917C78F"/>
    <w:rsid w:val="09AD0095"/>
    <w:rsid w:val="0A10519A"/>
    <w:rsid w:val="0A8419C9"/>
    <w:rsid w:val="0AC4B3B2"/>
    <w:rsid w:val="0BD9FACC"/>
    <w:rsid w:val="0C028241"/>
    <w:rsid w:val="0D76EDFA"/>
    <w:rsid w:val="0D787CD1"/>
    <w:rsid w:val="0DBBBA8B"/>
    <w:rsid w:val="0DFC5474"/>
    <w:rsid w:val="0F1D35DC"/>
    <w:rsid w:val="0F4F7CD5"/>
    <w:rsid w:val="1140CFC4"/>
    <w:rsid w:val="114C0D75"/>
    <w:rsid w:val="11DCB1EC"/>
    <w:rsid w:val="11E6BC4E"/>
    <w:rsid w:val="1207B3DD"/>
    <w:rsid w:val="13627F79"/>
    <w:rsid w:val="1382CA18"/>
    <w:rsid w:val="15BA701E"/>
    <w:rsid w:val="15C995CE"/>
    <w:rsid w:val="16BA74BF"/>
    <w:rsid w:val="176A65CE"/>
    <w:rsid w:val="17BB399A"/>
    <w:rsid w:val="19013690"/>
    <w:rsid w:val="1A24EB62"/>
    <w:rsid w:val="1A7335B6"/>
    <w:rsid w:val="1AC583F0"/>
    <w:rsid w:val="1B6A17BA"/>
    <w:rsid w:val="1B7AA8E8"/>
    <w:rsid w:val="1E70662F"/>
    <w:rsid w:val="1FEA8DB6"/>
    <w:rsid w:val="20185D64"/>
    <w:rsid w:val="20E8AB87"/>
    <w:rsid w:val="21116C9D"/>
    <w:rsid w:val="21EDC625"/>
    <w:rsid w:val="21F19CF4"/>
    <w:rsid w:val="2282CDEC"/>
    <w:rsid w:val="2305EF26"/>
    <w:rsid w:val="2325CEA3"/>
    <w:rsid w:val="232B62E8"/>
    <w:rsid w:val="242C5460"/>
    <w:rsid w:val="243CD3F4"/>
    <w:rsid w:val="24C10616"/>
    <w:rsid w:val="25E19885"/>
    <w:rsid w:val="25E4DDC0"/>
    <w:rsid w:val="2651241A"/>
    <w:rsid w:val="26B0D311"/>
    <w:rsid w:val="273C2A21"/>
    <w:rsid w:val="2771ABA6"/>
    <w:rsid w:val="27B0DFF0"/>
    <w:rsid w:val="27F18B13"/>
    <w:rsid w:val="27FF0800"/>
    <w:rsid w:val="2893F51A"/>
    <w:rsid w:val="2926AEFC"/>
    <w:rsid w:val="293E0659"/>
    <w:rsid w:val="29AB226D"/>
    <w:rsid w:val="2A1C0F6B"/>
    <w:rsid w:val="2A330655"/>
    <w:rsid w:val="2AA36A58"/>
    <w:rsid w:val="2AD9D6BA"/>
    <w:rsid w:val="2C106F72"/>
    <w:rsid w:val="2C35D2BF"/>
    <w:rsid w:val="2CCC1E9D"/>
    <w:rsid w:val="2D9F5DF9"/>
    <w:rsid w:val="2DCEB931"/>
    <w:rsid w:val="2F7297A9"/>
    <w:rsid w:val="2FED50DD"/>
    <w:rsid w:val="311FD131"/>
    <w:rsid w:val="31295F45"/>
    <w:rsid w:val="31F5719F"/>
    <w:rsid w:val="321B9317"/>
    <w:rsid w:val="32D94126"/>
    <w:rsid w:val="34C5F9E4"/>
    <w:rsid w:val="34D031F8"/>
    <w:rsid w:val="34D19FF0"/>
    <w:rsid w:val="353025C1"/>
    <w:rsid w:val="36018D4F"/>
    <w:rsid w:val="36C15248"/>
    <w:rsid w:val="36E3B450"/>
    <w:rsid w:val="37541453"/>
    <w:rsid w:val="37A1ABBA"/>
    <w:rsid w:val="38588A59"/>
    <w:rsid w:val="392D356B"/>
    <w:rsid w:val="39D5D393"/>
    <w:rsid w:val="3A077B88"/>
    <w:rsid w:val="3A47ED16"/>
    <w:rsid w:val="3AC905CC"/>
    <w:rsid w:val="3ACA1AFA"/>
    <w:rsid w:val="3B0F9AEA"/>
    <w:rsid w:val="3B648943"/>
    <w:rsid w:val="3B8AC0BE"/>
    <w:rsid w:val="3C6C3C25"/>
    <w:rsid w:val="3D9D8FCC"/>
    <w:rsid w:val="3DFF0912"/>
    <w:rsid w:val="3E3AEE9B"/>
    <w:rsid w:val="3F824E51"/>
    <w:rsid w:val="3F9AD973"/>
    <w:rsid w:val="3FB2A00F"/>
    <w:rsid w:val="4136A9D4"/>
    <w:rsid w:val="416387FB"/>
    <w:rsid w:val="43213D37"/>
    <w:rsid w:val="4395D2A3"/>
    <w:rsid w:val="43C7DAA4"/>
    <w:rsid w:val="43E6E6FB"/>
    <w:rsid w:val="44138870"/>
    <w:rsid w:val="442CB0CD"/>
    <w:rsid w:val="45BB667D"/>
    <w:rsid w:val="464B1FBC"/>
    <w:rsid w:val="47051EF4"/>
    <w:rsid w:val="4709DD23"/>
    <w:rsid w:val="470D47C1"/>
    <w:rsid w:val="4764518F"/>
    <w:rsid w:val="47E6F01D"/>
    <w:rsid w:val="49015971"/>
    <w:rsid w:val="4934C4B9"/>
    <w:rsid w:val="4993455A"/>
    <w:rsid w:val="4BCB471F"/>
    <w:rsid w:val="4C970BEC"/>
    <w:rsid w:val="4D49A20E"/>
    <w:rsid w:val="4E21522C"/>
    <w:rsid w:val="4E563B11"/>
    <w:rsid w:val="4E72E890"/>
    <w:rsid w:val="4F8555DE"/>
    <w:rsid w:val="4FBE29FC"/>
    <w:rsid w:val="519FF803"/>
    <w:rsid w:val="51ADAB61"/>
    <w:rsid w:val="52C9207E"/>
    <w:rsid w:val="52F22901"/>
    <w:rsid w:val="53025568"/>
    <w:rsid w:val="53B3E3F3"/>
    <w:rsid w:val="53C32DFD"/>
    <w:rsid w:val="54CFB941"/>
    <w:rsid w:val="555F08F6"/>
    <w:rsid w:val="55725DC8"/>
    <w:rsid w:val="55783153"/>
    <w:rsid w:val="56EB84B5"/>
    <w:rsid w:val="577CE2E7"/>
    <w:rsid w:val="58DADE53"/>
    <w:rsid w:val="5915A5F6"/>
    <w:rsid w:val="5BCE4A7A"/>
    <w:rsid w:val="5BD7B365"/>
    <w:rsid w:val="5C07C75B"/>
    <w:rsid w:val="5C5A0862"/>
    <w:rsid w:val="5CB67887"/>
    <w:rsid w:val="5D153F43"/>
    <w:rsid w:val="5D5AC639"/>
    <w:rsid w:val="5D6A1ADB"/>
    <w:rsid w:val="5E2DDDFE"/>
    <w:rsid w:val="5EC45173"/>
    <w:rsid w:val="5EF6969A"/>
    <w:rsid w:val="604F8D17"/>
    <w:rsid w:val="60B57167"/>
    <w:rsid w:val="61310DC6"/>
    <w:rsid w:val="61BA8CFD"/>
    <w:rsid w:val="62471700"/>
    <w:rsid w:val="62488A5F"/>
    <w:rsid w:val="625141C8"/>
    <w:rsid w:val="6340B8C8"/>
    <w:rsid w:val="64A9A1F2"/>
    <w:rsid w:val="64E6FFA2"/>
    <w:rsid w:val="65B63185"/>
    <w:rsid w:val="66000529"/>
    <w:rsid w:val="665AAD2D"/>
    <w:rsid w:val="6678E667"/>
    <w:rsid w:val="66AC8E95"/>
    <w:rsid w:val="678A9D24"/>
    <w:rsid w:val="6796E458"/>
    <w:rsid w:val="67E702FB"/>
    <w:rsid w:val="68197DAD"/>
    <w:rsid w:val="68907DFC"/>
    <w:rsid w:val="69548B18"/>
    <w:rsid w:val="6A14891D"/>
    <w:rsid w:val="6A231DAD"/>
    <w:rsid w:val="6AA3D179"/>
    <w:rsid w:val="6D4C5A9C"/>
    <w:rsid w:val="6D7095AC"/>
    <w:rsid w:val="6E508438"/>
    <w:rsid w:val="6F5D321F"/>
    <w:rsid w:val="6FD2EF7C"/>
    <w:rsid w:val="6FD97B93"/>
    <w:rsid w:val="7139E8BA"/>
    <w:rsid w:val="722FF71D"/>
    <w:rsid w:val="7250F91D"/>
    <w:rsid w:val="727031D4"/>
    <w:rsid w:val="7295104A"/>
    <w:rsid w:val="72A00667"/>
    <w:rsid w:val="739CAB89"/>
    <w:rsid w:val="73E3440C"/>
    <w:rsid w:val="744739ED"/>
    <w:rsid w:val="74BAC61D"/>
    <w:rsid w:val="75889981"/>
    <w:rsid w:val="761736A6"/>
    <w:rsid w:val="764EEE4D"/>
    <w:rsid w:val="76FD6F8A"/>
    <w:rsid w:val="770BB59A"/>
    <w:rsid w:val="776F019F"/>
    <w:rsid w:val="77FF5404"/>
    <w:rsid w:val="78701CAC"/>
    <w:rsid w:val="79112DFD"/>
    <w:rsid w:val="7967357C"/>
    <w:rsid w:val="7AE5F002"/>
    <w:rsid w:val="7AEAA7C9"/>
    <w:rsid w:val="7B025C5C"/>
    <w:rsid w:val="7B02E83C"/>
    <w:rsid w:val="7B54B2BB"/>
    <w:rsid w:val="7B5C0FA2"/>
    <w:rsid w:val="7C16355E"/>
    <w:rsid w:val="7C4272C2"/>
    <w:rsid w:val="7C86782A"/>
    <w:rsid w:val="7CD2C527"/>
    <w:rsid w:val="7D0972EE"/>
    <w:rsid w:val="7D914CE8"/>
    <w:rsid w:val="7E7A8807"/>
    <w:rsid w:val="7F2D1D49"/>
    <w:rsid w:val="7F96096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42E6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hidden/>
    <w:qFormat/>
    <w:rsid w:val="00AE5E41"/>
    <w:pPr>
      <w:spacing w:after="120" w:line="240" w:lineRule="auto"/>
      <w:jc w:val="both"/>
    </w:pPr>
    <w:rPr>
      <w:rFonts w:ascii="Calibri" w:eastAsia="Times New Roman" w:hAnsi="Calibri" w:cs="Times New Roman"/>
      <w:sz w:val="20"/>
      <w:szCs w:val="20"/>
      <w:lang w:eastAsia="cs-CZ"/>
    </w:rPr>
  </w:style>
  <w:style w:type="paragraph" w:styleId="Nadpis1">
    <w:name w:val="heading 1"/>
    <w:basedOn w:val="Normln"/>
    <w:next w:val="Normln"/>
    <w:link w:val="Nadpis1Char"/>
    <w:qFormat/>
    <w:rsid w:val="00332D4D"/>
    <w:pPr>
      <w:keepNext/>
      <w:pageBreakBefore/>
      <w:numPr>
        <w:numId w:val="1"/>
      </w:numPr>
      <w:outlineLvl w:val="0"/>
    </w:pPr>
    <w:rPr>
      <w:rFonts w:cs="Arial"/>
      <w:b/>
      <w:bCs/>
      <w:kern w:val="32"/>
      <w:sz w:val="40"/>
      <w:szCs w:val="32"/>
    </w:rPr>
  </w:style>
  <w:style w:type="paragraph" w:styleId="Nadpis2">
    <w:name w:val="heading 2"/>
    <w:basedOn w:val="Normln"/>
    <w:next w:val="Normln"/>
    <w:link w:val="Nadpis2Char"/>
    <w:qFormat/>
    <w:rsid w:val="00B029A2"/>
    <w:pPr>
      <w:keepNext/>
      <w:numPr>
        <w:ilvl w:val="1"/>
        <w:numId w:val="1"/>
      </w:numPr>
      <w:pBdr>
        <w:bottom w:val="single" w:sz="12" w:space="1" w:color="E4DFEC"/>
      </w:pBdr>
      <w:tabs>
        <w:tab w:val="clear" w:pos="2269"/>
        <w:tab w:val="num" w:pos="567"/>
      </w:tabs>
      <w:spacing w:before="480"/>
      <w:ind w:left="567"/>
      <w:outlineLvl w:val="1"/>
    </w:pPr>
    <w:rPr>
      <w:rFonts w:cs="Arial"/>
      <w:b/>
      <w:bCs/>
      <w:iCs/>
      <w:sz w:val="28"/>
      <w:szCs w:val="28"/>
    </w:rPr>
  </w:style>
  <w:style w:type="paragraph" w:styleId="Nadpis3">
    <w:name w:val="heading 3"/>
    <w:basedOn w:val="Normln"/>
    <w:next w:val="Normln"/>
    <w:link w:val="Nadpis3Char"/>
    <w:qFormat/>
    <w:rsid w:val="001D4D21"/>
    <w:pPr>
      <w:keepNext/>
      <w:numPr>
        <w:ilvl w:val="2"/>
        <w:numId w:val="1"/>
      </w:numPr>
      <w:spacing w:before="240"/>
      <w:ind w:left="567" w:hanging="567"/>
      <w:outlineLvl w:val="2"/>
    </w:pPr>
    <w:rPr>
      <w:rFonts w:cs="Arial"/>
      <w:b/>
      <w:bCs/>
      <w:szCs w:val="26"/>
    </w:rPr>
  </w:style>
  <w:style w:type="paragraph" w:styleId="Nadpis4">
    <w:name w:val="heading 4"/>
    <w:basedOn w:val="Nadpis3"/>
    <w:next w:val="Normln"/>
    <w:link w:val="Nadpis4Char"/>
    <w:qFormat/>
    <w:rsid w:val="00332D4D"/>
    <w:pPr>
      <w:numPr>
        <w:ilvl w:val="0"/>
        <w:numId w:val="0"/>
      </w:numPr>
      <w:tabs>
        <w:tab w:val="num" w:pos="864"/>
      </w:tabs>
      <w:spacing w:before="120"/>
      <w:outlineLvl w:val="3"/>
    </w:pPr>
    <w:rPr>
      <w:bCs w:val="0"/>
      <w:szCs w:val="28"/>
    </w:rPr>
  </w:style>
  <w:style w:type="paragraph" w:styleId="Nadpis5">
    <w:name w:val="heading 5"/>
    <w:basedOn w:val="Normln"/>
    <w:next w:val="Normln"/>
    <w:link w:val="Nadpis5Char"/>
    <w:rsid w:val="00332D4D"/>
    <w:pPr>
      <w:keepNext/>
      <w:tabs>
        <w:tab w:val="num" w:pos="1008"/>
      </w:tabs>
      <w:spacing w:before="480" w:after="480"/>
      <w:ind w:left="1009" w:hanging="1009"/>
      <w:outlineLvl w:val="4"/>
    </w:pPr>
    <w:rPr>
      <w:rFonts w:ascii="Arial" w:hAnsi="Arial"/>
      <w:b/>
      <w:bCs/>
    </w:rPr>
  </w:style>
  <w:style w:type="paragraph" w:styleId="Nadpis6">
    <w:name w:val="heading 6"/>
    <w:basedOn w:val="Normln"/>
    <w:next w:val="Normln"/>
    <w:link w:val="Nadpis6Char"/>
    <w:rsid w:val="00332D4D"/>
    <w:pPr>
      <w:keepNext/>
      <w:keepLines/>
      <w:pageBreakBefore/>
      <w:tabs>
        <w:tab w:val="num" w:pos="1152"/>
      </w:tabs>
      <w:outlineLvl w:val="5"/>
    </w:pPr>
    <w:rPr>
      <w:b/>
      <w:bCs/>
      <w:sz w:val="40"/>
      <w:szCs w:val="22"/>
    </w:rPr>
  </w:style>
  <w:style w:type="paragraph" w:styleId="Nadpis7">
    <w:name w:val="heading 7"/>
    <w:basedOn w:val="Normln"/>
    <w:next w:val="Normln"/>
    <w:link w:val="Nadpis7Char"/>
    <w:rsid w:val="00332D4D"/>
    <w:pPr>
      <w:tabs>
        <w:tab w:val="num" w:pos="1296"/>
      </w:tabs>
      <w:spacing w:before="240" w:after="60"/>
      <w:ind w:left="1296" w:hanging="1296"/>
      <w:outlineLvl w:val="6"/>
    </w:pPr>
    <w:rPr>
      <w:rFonts w:ascii="Times New Roman" w:hAnsi="Times New Roman"/>
      <w:sz w:val="24"/>
    </w:rPr>
  </w:style>
  <w:style w:type="paragraph" w:styleId="Nadpis8">
    <w:name w:val="heading 8"/>
    <w:basedOn w:val="Normln"/>
    <w:next w:val="Normln"/>
    <w:link w:val="Nadpis8Char"/>
    <w:rsid w:val="00332D4D"/>
    <w:pPr>
      <w:tabs>
        <w:tab w:val="num" w:pos="1440"/>
      </w:tabs>
      <w:spacing w:before="240" w:after="60"/>
      <w:ind w:left="1440" w:hanging="1440"/>
      <w:outlineLvl w:val="7"/>
    </w:pPr>
    <w:rPr>
      <w:rFonts w:ascii="Times New Roman" w:hAnsi="Times New Roman"/>
      <w:i/>
      <w:iCs/>
      <w:sz w:val="24"/>
    </w:rPr>
  </w:style>
  <w:style w:type="paragraph" w:styleId="Nadpis9">
    <w:name w:val="heading 9"/>
    <w:basedOn w:val="Normln"/>
    <w:next w:val="Normln"/>
    <w:link w:val="Nadpis9Char"/>
    <w:rsid w:val="00332D4D"/>
    <w:pPr>
      <w:keepNext/>
      <w:tabs>
        <w:tab w:val="num" w:pos="1584"/>
      </w:tabs>
      <w:ind w:left="1584" w:hanging="1584"/>
      <w:jc w:val="center"/>
      <w:outlineLvl w:val="8"/>
    </w:pPr>
    <w:rPr>
      <w:b/>
      <w:bCs/>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332D4D"/>
    <w:rPr>
      <w:rFonts w:ascii="Calibri" w:eastAsia="Times New Roman" w:hAnsi="Calibri" w:cs="Arial"/>
      <w:b/>
      <w:bCs/>
      <w:kern w:val="32"/>
      <w:sz w:val="40"/>
      <w:szCs w:val="32"/>
      <w:lang w:eastAsia="cs-CZ"/>
    </w:rPr>
  </w:style>
  <w:style w:type="character" w:customStyle="1" w:styleId="Nadpis2Char">
    <w:name w:val="Nadpis 2 Char"/>
    <w:basedOn w:val="Standardnpsmoodstavce"/>
    <w:link w:val="Nadpis2"/>
    <w:rsid w:val="00B029A2"/>
    <w:rPr>
      <w:rFonts w:ascii="Calibri" w:eastAsia="Times New Roman" w:hAnsi="Calibri" w:cs="Arial"/>
      <w:b/>
      <w:bCs/>
      <w:iCs/>
      <w:sz w:val="28"/>
      <w:szCs w:val="28"/>
      <w:lang w:eastAsia="cs-CZ"/>
    </w:rPr>
  </w:style>
  <w:style w:type="character" w:customStyle="1" w:styleId="Nadpis3Char">
    <w:name w:val="Nadpis 3 Char"/>
    <w:basedOn w:val="Standardnpsmoodstavce"/>
    <w:link w:val="Nadpis3"/>
    <w:rsid w:val="001D4D21"/>
    <w:rPr>
      <w:rFonts w:ascii="Calibri" w:eastAsia="Times New Roman" w:hAnsi="Calibri" w:cs="Arial"/>
      <w:b/>
      <w:bCs/>
      <w:sz w:val="20"/>
      <w:szCs w:val="26"/>
      <w:lang w:eastAsia="cs-CZ"/>
    </w:rPr>
  </w:style>
  <w:style w:type="character" w:customStyle="1" w:styleId="Nadpis4Char">
    <w:name w:val="Nadpis 4 Char"/>
    <w:basedOn w:val="Standardnpsmoodstavce"/>
    <w:link w:val="Nadpis4"/>
    <w:rsid w:val="00332D4D"/>
    <w:rPr>
      <w:rFonts w:ascii="Calibri" w:eastAsia="Times New Roman" w:hAnsi="Calibri" w:cs="Arial"/>
      <w:b/>
      <w:sz w:val="20"/>
      <w:szCs w:val="28"/>
      <w:lang w:eastAsia="cs-CZ"/>
    </w:rPr>
  </w:style>
  <w:style w:type="character" w:customStyle="1" w:styleId="Nadpis5Char">
    <w:name w:val="Nadpis 5 Char"/>
    <w:basedOn w:val="Standardnpsmoodstavce"/>
    <w:link w:val="Nadpis5"/>
    <w:rsid w:val="00332D4D"/>
    <w:rPr>
      <w:rFonts w:ascii="Arial" w:eastAsia="Times New Roman" w:hAnsi="Arial" w:cs="Times New Roman"/>
      <w:b/>
      <w:bCs/>
      <w:sz w:val="20"/>
      <w:szCs w:val="20"/>
      <w:lang w:eastAsia="cs-CZ"/>
    </w:rPr>
  </w:style>
  <w:style w:type="character" w:customStyle="1" w:styleId="Nadpis6Char">
    <w:name w:val="Nadpis 6 Char"/>
    <w:basedOn w:val="Standardnpsmoodstavce"/>
    <w:link w:val="Nadpis6"/>
    <w:rsid w:val="00332D4D"/>
    <w:rPr>
      <w:rFonts w:ascii="Calibri" w:eastAsia="Times New Roman" w:hAnsi="Calibri" w:cs="Times New Roman"/>
      <w:b/>
      <w:bCs/>
      <w:sz w:val="40"/>
      <w:lang w:eastAsia="cs-CZ"/>
    </w:rPr>
  </w:style>
  <w:style w:type="character" w:customStyle="1" w:styleId="Nadpis7Char">
    <w:name w:val="Nadpis 7 Char"/>
    <w:basedOn w:val="Standardnpsmoodstavce"/>
    <w:link w:val="Nadpis7"/>
    <w:rsid w:val="00332D4D"/>
    <w:rPr>
      <w:rFonts w:ascii="Times New Roman" w:eastAsia="Times New Roman" w:hAnsi="Times New Roman" w:cs="Times New Roman"/>
      <w:sz w:val="24"/>
      <w:szCs w:val="20"/>
      <w:lang w:eastAsia="cs-CZ"/>
    </w:rPr>
  </w:style>
  <w:style w:type="character" w:customStyle="1" w:styleId="Nadpis8Char">
    <w:name w:val="Nadpis 8 Char"/>
    <w:basedOn w:val="Standardnpsmoodstavce"/>
    <w:link w:val="Nadpis8"/>
    <w:rsid w:val="00332D4D"/>
    <w:rPr>
      <w:rFonts w:ascii="Times New Roman" w:eastAsia="Times New Roman" w:hAnsi="Times New Roman" w:cs="Times New Roman"/>
      <w:i/>
      <w:iCs/>
      <w:sz w:val="24"/>
      <w:szCs w:val="20"/>
      <w:lang w:eastAsia="cs-CZ"/>
    </w:rPr>
  </w:style>
  <w:style w:type="character" w:customStyle="1" w:styleId="Nadpis9Char">
    <w:name w:val="Nadpis 9 Char"/>
    <w:basedOn w:val="Standardnpsmoodstavce"/>
    <w:link w:val="Nadpis9"/>
    <w:rsid w:val="00332D4D"/>
    <w:rPr>
      <w:rFonts w:ascii="Calibri" w:eastAsia="Times New Roman" w:hAnsi="Calibri" w:cs="Times New Roman"/>
      <w:b/>
      <w:bCs/>
      <w:sz w:val="20"/>
      <w:szCs w:val="20"/>
      <w:lang w:eastAsia="cs-CZ"/>
    </w:rPr>
  </w:style>
  <w:style w:type="paragraph" w:styleId="Zhlav">
    <w:name w:val="header"/>
    <w:basedOn w:val="Normln"/>
    <w:link w:val="ZhlavChar"/>
    <w:rsid w:val="00332D4D"/>
    <w:pPr>
      <w:tabs>
        <w:tab w:val="center" w:pos="4536"/>
        <w:tab w:val="right" w:pos="9072"/>
      </w:tabs>
    </w:pPr>
  </w:style>
  <w:style w:type="character" w:customStyle="1" w:styleId="ZhlavChar">
    <w:name w:val="Záhlaví Char"/>
    <w:basedOn w:val="Standardnpsmoodstavce"/>
    <w:link w:val="Zhlav"/>
    <w:rsid w:val="00332D4D"/>
    <w:rPr>
      <w:rFonts w:ascii="Calibri" w:eastAsia="Times New Roman" w:hAnsi="Calibri" w:cs="Times New Roman"/>
      <w:sz w:val="20"/>
      <w:szCs w:val="20"/>
      <w:lang w:eastAsia="cs-CZ"/>
    </w:rPr>
  </w:style>
  <w:style w:type="paragraph" w:styleId="Zpat">
    <w:name w:val="footer"/>
    <w:basedOn w:val="Normln"/>
    <w:link w:val="ZpatChar"/>
    <w:rsid w:val="00332D4D"/>
    <w:pPr>
      <w:tabs>
        <w:tab w:val="center" w:pos="4536"/>
        <w:tab w:val="right" w:pos="9072"/>
      </w:tabs>
    </w:pPr>
  </w:style>
  <w:style w:type="character" w:customStyle="1" w:styleId="ZpatChar">
    <w:name w:val="Zápatí Char"/>
    <w:basedOn w:val="Standardnpsmoodstavce"/>
    <w:link w:val="Zpat"/>
    <w:rsid w:val="00332D4D"/>
    <w:rPr>
      <w:rFonts w:ascii="Calibri" w:eastAsia="Times New Roman" w:hAnsi="Calibri" w:cs="Times New Roman"/>
      <w:sz w:val="20"/>
      <w:szCs w:val="20"/>
      <w:lang w:eastAsia="cs-CZ"/>
    </w:rPr>
  </w:style>
  <w:style w:type="character" w:styleId="slostrnky">
    <w:name w:val="page number"/>
    <w:rsid w:val="00332D4D"/>
    <w:rPr>
      <w:rFonts w:ascii="Calibri" w:hAnsi="Calibri"/>
      <w:sz w:val="16"/>
    </w:rPr>
  </w:style>
  <w:style w:type="character" w:styleId="Hypertextovodkaz">
    <w:name w:val="Hyperlink"/>
    <w:uiPriority w:val="99"/>
    <w:rsid w:val="00332D4D"/>
    <w:rPr>
      <w:color w:val="0000FF"/>
      <w:u w:val="single"/>
    </w:rPr>
  </w:style>
  <w:style w:type="paragraph" w:styleId="Obsah1">
    <w:name w:val="toc 1"/>
    <w:basedOn w:val="Normln"/>
    <w:next w:val="Normln"/>
    <w:autoRedefine/>
    <w:uiPriority w:val="39"/>
    <w:rsid w:val="00332D4D"/>
    <w:pPr>
      <w:tabs>
        <w:tab w:val="left" w:pos="284"/>
        <w:tab w:val="right" w:leader="dot" w:pos="9628"/>
      </w:tabs>
      <w:spacing w:before="120" w:after="60"/>
    </w:pPr>
    <w:rPr>
      <w:b/>
      <w:noProof/>
    </w:rPr>
  </w:style>
  <w:style w:type="paragraph" w:styleId="Obsah2">
    <w:name w:val="toc 2"/>
    <w:basedOn w:val="Normln"/>
    <w:next w:val="Normln"/>
    <w:autoRedefine/>
    <w:uiPriority w:val="39"/>
    <w:rsid w:val="00332D4D"/>
    <w:pPr>
      <w:tabs>
        <w:tab w:val="left" w:pos="960"/>
        <w:tab w:val="right" w:leader="dot" w:pos="9628"/>
      </w:tabs>
      <w:spacing w:after="60"/>
      <w:ind w:left="567"/>
    </w:pPr>
  </w:style>
  <w:style w:type="paragraph" w:customStyle="1" w:styleId="Nadpiszacatek">
    <w:name w:val="Nadpis zacatek"/>
    <w:basedOn w:val="Normln"/>
    <w:semiHidden/>
    <w:rsid w:val="00332D4D"/>
    <w:pPr>
      <w:spacing w:after="240"/>
    </w:pPr>
    <w:rPr>
      <w:b/>
      <w:bCs/>
      <w:sz w:val="32"/>
    </w:rPr>
  </w:style>
  <w:style w:type="paragraph" w:styleId="Seznamobrzk">
    <w:name w:val="table of figures"/>
    <w:basedOn w:val="Normln"/>
    <w:next w:val="Normln"/>
    <w:uiPriority w:val="99"/>
    <w:rsid w:val="00332D4D"/>
    <w:pPr>
      <w:tabs>
        <w:tab w:val="right" w:leader="dot" w:pos="9639"/>
      </w:tabs>
      <w:spacing w:after="60"/>
      <w:ind w:left="482" w:hanging="482"/>
    </w:pPr>
  </w:style>
  <w:style w:type="paragraph" w:customStyle="1" w:styleId="Nadpismal">
    <w:name w:val="Nadpis malý"/>
    <w:next w:val="Normln"/>
    <w:qFormat/>
    <w:rsid w:val="00332D4D"/>
    <w:pPr>
      <w:keepNext/>
      <w:keepLines/>
      <w:spacing w:before="360" w:after="60" w:line="240" w:lineRule="auto"/>
      <w:jc w:val="both"/>
    </w:pPr>
    <w:rPr>
      <w:rFonts w:ascii="Calibri" w:eastAsia="Times New Roman" w:hAnsi="Calibri" w:cs="Times New Roman"/>
      <w:b/>
      <w:sz w:val="24"/>
      <w:szCs w:val="24"/>
      <w:lang w:eastAsia="cs-CZ"/>
    </w:rPr>
  </w:style>
  <w:style w:type="paragraph" w:customStyle="1" w:styleId="Seznamliteratury">
    <w:name w:val="Seznam literatury"/>
    <w:basedOn w:val="Normln"/>
    <w:uiPriority w:val="99"/>
    <w:qFormat/>
    <w:rsid w:val="00332D4D"/>
    <w:pPr>
      <w:ind w:left="540" w:hanging="540"/>
    </w:pPr>
  </w:style>
  <w:style w:type="paragraph" w:styleId="Titulek">
    <w:name w:val="caption"/>
    <w:basedOn w:val="Normln"/>
    <w:next w:val="Normln"/>
    <w:link w:val="TitulekChar"/>
    <w:qFormat/>
    <w:rsid w:val="00291253"/>
    <w:pPr>
      <w:keepNext/>
      <w:keepLines/>
      <w:spacing w:before="240" w:after="0"/>
    </w:pPr>
    <w:rPr>
      <w:b/>
      <w:bCs/>
    </w:rPr>
  </w:style>
  <w:style w:type="paragraph" w:customStyle="1" w:styleId="Odkazyvvodnmboxu">
    <w:name w:val="Odkazy v úvodním boxu"/>
    <w:basedOn w:val="Normln"/>
    <w:rsid w:val="00332D4D"/>
    <w:pPr>
      <w:ind w:left="567"/>
    </w:pPr>
    <w:rPr>
      <w:b/>
      <w:bCs/>
      <w:i/>
      <w:iCs/>
    </w:rPr>
  </w:style>
  <w:style w:type="paragraph" w:customStyle="1" w:styleId="Seznamzkratek">
    <w:name w:val="Seznam zkratek"/>
    <w:basedOn w:val="Normln"/>
    <w:rsid w:val="00332D4D"/>
    <w:pPr>
      <w:tabs>
        <w:tab w:val="left" w:leader="dot" w:pos="3119"/>
      </w:tabs>
      <w:spacing w:after="0" w:line="264" w:lineRule="auto"/>
    </w:pPr>
  </w:style>
  <w:style w:type="paragraph" w:customStyle="1" w:styleId="Zdrojpoznmkapodtabulkougrafem">
    <w:name w:val="Zdroj/poznámka pod tabulkou/grafem"/>
    <w:basedOn w:val="Normln"/>
    <w:next w:val="Normln"/>
    <w:link w:val="ZdrojpoznmkapodtabulkougrafemCharChar"/>
    <w:rsid w:val="00332D4D"/>
    <w:pPr>
      <w:spacing w:after="240"/>
      <w:contextualSpacing/>
    </w:pPr>
    <w:rPr>
      <w:i/>
      <w:sz w:val="16"/>
      <w:szCs w:val="16"/>
    </w:rPr>
  </w:style>
  <w:style w:type="character" w:customStyle="1" w:styleId="ZdrojpoznmkapodtabulkougrafemCharChar">
    <w:name w:val="Zdroj/poznámka pod tabulkou/grafem Char Char"/>
    <w:link w:val="Zdrojpoznmkapodtabulkougrafem"/>
    <w:rsid w:val="00332D4D"/>
    <w:rPr>
      <w:rFonts w:ascii="Calibri" w:eastAsia="Times New Roman" w:hAnsi="Calibri" w:cs="Times New Roman"/>
      <w:i/>
      <w:sz w:val="16"/>
      <w:szCs w:val="16"/>
      <w:lang w:eastAsia="cs-CZ"/>
    </w:rPr>
  </w:style>
  <w:style w:type="table" w:styleId="Mkatabulky">
    <w:name w:val="Table Grid"/>
    <w:basedOn w:val="Normlntabulka"/>
    <w:uiPriority w:val="59"/>
    <w:rsid w:val="00332D4D"/>
    <w:pPr>
      <w:spacing w:after="120" w:line="240" w:lineRule="auto"/>
      <w:jc w:val="both"/>
    </w:pPr>
    <w:rPr>
      <w:rFonts w:ascii="Calibri" w:eastAsia="Times New Roman" w:hAnsi="Calibri"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Nadpis1bezsla">
    <w:name w:val="Styl Nadpis 1 bez čísla"/>
    <w:basedOn w:val="Nadpis1"/>
    <w:semiHidden/>
    <w:locked/>
    <w:rsid w:val="00332D4D"/>
    <w:pPr>
      <w:ind w:left="0" w:firstLine="0"/>
    </w:pPr>
    <w:rPr>
      <w:rFonts w:cs="Times New Roman"/>
      <w:szCs w:val="20"/>
    </w:rPr>
  </w:style>
  <w:style w:type="paragraph" w:customStyle="1" w:styleId="Jednotkypodnadpisemgrafunebotabulky">
    <w:name w:val="Jednotky pod nadpisem grafu nebo tabulky"/>
    <w:basedOn w:val="Normln"/>
    <w:rsid w:val="00332D4D"/>
    <w:pPr>
      <w:keepNext/>
      <w:spacing w:after="0"/>
    </w:pPr>
    <w:rPr>
      <w:i/>
      <w:iCs/>
      <w:sz w:val="16"/>
    </w:rPr>
  </w:style>
  <w:style w:type="character" w:styleId="Znakapoznpodarou">
    <w:name w:val="footnote reference"/>
    <w:aliases w:val="Footnote symbol,Footnote reference number,Times 10 Point,Exposant 3 Point,EN Footnote Reference,note TESI, Exposant 3 Point,PGI Fußnote Ziffer + Times New Roman,12 b.,Zúžené o ...,PGI Fußnote Ziffer,BVI fnr,Footnote call,SUPERS,R"/>
    <w:link w:val="FootnotesymbolCarZchn"/>
    <w:uiPriority w:val="99"/>
    <w:rsid w:val="00332D4D"/>
    <w:rPr>
      <w:vertAlign w:val="superscript"/>
    </w:rPr>
  </w:style>
  <w:style w:type="paragraph" w:customStyle="1" w:styleId="Titulky">
    <w:name w:val="Titulky"/>
    <w:basedOn w:val="Titulek"/>
    <w:semiHidden/>
    <w:rsid w:val="00332D4D"/>
    <w:pPr>
      <w:keepLines w:val="0"/>
      <w:spacing w:beforeLines="75" w:before="180"/>
      <w:jc w:val="left"/>
    </w:pPr>
    <w:rPr>
      <w:rFonts w:ascii="Arial" w:hAnsi="Arial"/>
    </w:rPr>
  </w:style>
  <w:style w:type="paragraph" w:customStyle="1" w:styleId="Fisklnvhled1strana">
    <w:name w:val="Fiskální výhled (1. strana)"/>
    <w:basedOn w:val="Zpat"/>
    <w:next w:val="eskrepubliky1strana"/>
    <w:semiHidden/>
    <w:locked/>
    <w:rsid w:val="00332D4D"/>
    <w:pPr>
      <w:spacing w:before="7800" w:after="0"/>
      <w:ind w:left="1440" w:right="-289"/>
      <w:jc w:val="right"/>
    </w:pPr>
    <w:rPr>
      <w:b/>
      <w:bCs/>
      <w:spacing w:val="10"/>
      <w:sz w:val="96"/>
    </w:rPr>
  </w:style>
  <w:style w:type="paragraph" w:customStyle="1" w:styleId="eskrepubliky1strana">
    <w:name w:val="České republiky (1. strana)"/>
    <w:basedOn w:val="Zpat"/>
    <w:semiHidden/>
    <w:locked/>
    <w:rsid w:val="00332D4D"/>
    <w:pPr>
      <w:spacing w:after="0"/>
      <w:ind w:left="1440" w:right="-288"/>
      <w:jc w:val="right"/>
    </w:pPr>
    <w:rPr>
      <w:b/>
      <w:bCs/>
      <w:sz w:val="56"/>
    </w:rPr>
  </w:style>
  <w:style w:type="paragraph" w:customStyle="1" w:styleId="Zdrojpodtabulkounebografem">
    <w:name w:val="Zdroj pod tabulkou nebo grafem"/>
    <w:basedOn w:val="Normln"/>
    <w:next w:val="Normln"/>
    <w:link w:val="ZdrojpodtabulkounebografemChar"/>
    <w:qFormat/>
    <w:rsid w:val="00332D4D"/>
    <w:pPr>
      <w:spacing w:after="240"/>
      <w:contextualSpacing/>
    </w:pPr>
    <w:rPr>
      <w:i/>
      <w:sz w:val="16"/>
      <w:szCs w:val="16"/>
    </w:rPr>
  </w:style>
  <w:style w:type="paragraph" w:styleId="Textbubliny">
    <w:name w:val="Balloon Text"/>
    <w:basedOn w:val="Normln"/>
    <w:link w:val="TextbublinyChar"/>
    <w:semiHidden/>
    <w:rsid w:val="00332D4D"/>
    <w:rPr>
      <w:rFonts w:ascii="Tahoma" w:hAnsi="Tahoma" w:cs="Tahoma"/>
      <w:sz w:val="16"/>
      <w:szCs w:val="16"/>
    </w:rPr>
  </w:style>
  <w:style w:type="character" w:customStyle="1" w:styleId="TextbublinyChar">
    <w:name w:val="Text bubliny Char"/>
    <w:basedOn w:val="Standardnpsmoodstavce"/>
    <w:link w:val="Textbubliny"/>
    <w:semiHidden/>
    <w:rsid w:val="00332D4D"/>
    <w:rPr>
      <w:rFonts w:ascii="Tahoma" w:eastAsia="Times New Roman" w:hAnsi="Tahoma" w:cs="Tahoma"/>
      <w:sz w:val="16"/>
      <w:szCs w:val="16"/>
      <w:lang w:eastAsia="cs-CZ"/>
    </w:rPr>
  </w:style>
  <w:style w:type="paragraph" w:customStyle="1" w:styleId="Titulek-jednotkypodnadpisemgrafunebotabulky">
    <w:name w:val="Titulek - jednotky pod nadpisem grafu nebo tabulky"/>
    <w:basedOn w:val="Normln"/>
    <w:rsid w:val="00332D4D"/>
    <w:pPr>
      <w:keepNext/>
      <w:keepLines/>
      <w:spacing w:after="0"/>
    </w:pPr>
    <w:rPr>
      <w:i/>
      <w:iCs/>
      <w:sz w:val="16"/>
    </w:rPr>
  </w:style>
  <w:style w:type="paragraph" w:styleId="Rozloendokumentu">
    <w:name w:val="Document Map"/>
    <w:basedOn w:val="Normln"/>
    <w:link w:val="RozloendokumentuChar"/>
    <w:semiHidden/>
    <w:rsid w:val="00332D4D"/>
    <w:pPr>
      <w:shd w:val="clear" w:color="auto" w:fill="000080"/>
    </w:pPr>
    <w:rPr>
      <w:rFonts w:ascii="Tahoma" w:hAnsi="Tahoma" w:cs="Tahoma"/>
    </w:rPr>
  </w:style>
  <w:style w:type="character" w:customStyle="1" w:styleId="RozloendokumentuChar">
    <w:name w:val="Rozložení dokumentu Char"/>
    <w:basedOn w:val="Standardnpsmoodstavce"/>
    <w:link w:val="Rozloendokumentu"/>
    <w:semiHidden/>
    <w:rsid w:val="00332D4D"/>
    <w:rPr>
      <w:rFonts w:ascii="Tahoma" w:eastAsia="Times New Roman" w:hAnsi="Tahoma" w:cs="Tahoma"/>
      <w:sz w:val="20"/>
      <w:szCs w:val="20"/>
      <w:shd w:val="clear" w:color="auto" w:fill="000080"/>
      <w:lang w:eastAsia="cs-CZ"/>
    </w:rPr>
  </w:style>
  <w:style w:type="character" w:styleId="Odkaznakoment">
    <w:name w:val="annotation reference"/>
    <w:rsid w:val="00332D4D"/>
    <w:rPr>
      <w:sz w:val="16"/>
      <w:szCs w:val="16"/>
    </w:rPr>
  </w:style>
  <w:style w:type="paragraph" w:styleId="Textkomente">
    <w:name w:val="annotation text"/>
    <w:basedOn w:val="Normln"/>
    <w:link w:val="TextkomenteChar"/>
    <w:rsid w:val="00332D4D"/>
  </w:style>
  <w:style w:type="character" w:customStyle="1" w:styleId="TextkomenteChar">
    <w:name w:val="Text komentáře Char"/>
    <w:basedOn w:val="Standardnpsmoodstavce"/>
    <w:link w:val="Textkomente"/>
    <w:rsid w:val="00332D4D"/>
    <w:rPr>
      <w:rFonts w:ascii="Calibri" w:eastAsia="Times New Roman" w:hAnsi="Calibri" w:cs="Times New Roman"/>
      <w:sz w:val="20"/>
      <w:szCs w:val="20"/>
      <w:lang w:eastAsia="cs-CZ"/>
    </w:rPr>
  </w:style>
  <w:style w:type="paragraph" w:styleId="Pedmtkomente">
    <w:name w:val="annotation subject"/>
    <w:basedOn w:val="Textkomente"/>
    <w:next w:val="Textkomente"/>
    <w:link w:val="PedmtkomenteChar"/>
    <w:semiHidden/>
    <w:rsid w:val="00332D4D"/>
    <w:rPr>
      <w:b/>
      <w:bCs/>
    </w:rPr>
  </w:style>
  <w:style w:type="character" w:customStyle="1" w:styleId="PedmtkomenteChar">
    <w:name w:val="Předmět komentáře Char"/>
    <w:basedOn w:val="TextkomenteChar"/>
    <w:link w:val="Pedmtkomente"/>
    <w:semiHidden/>
    <w:rsid w:val="00332D4D"/>
    <w:rPr>
      <w:rFonts w:ascii="Calibri" w:eastAsia="Times New Roman" w:hAnsi="Calibri" w:cs="Times New Roman"/>
      <w:b/>
      <w:bCs/>
      <w:sz w:val="20"/>
      <w:szCs w:val="20"/>
      <w:lang w:eastAsia="cs-CZ"/>
    </w:rPr>
  </w:style>
  <w:style w:type="paragraph" w:styleId="Zkladntext">
    <w:name w:val="Body Text"/>
    <w:basedOn w:val="Normln"/>
    <w:link w:val="ZkladntextChar"/>
    <w:rsid w:val="00332D4D"/>
    <w:rPr>
      <w:lang w:eastAsia="en-US"/>
    </w:rPr>
  </w:style>
  <w:style w:type="character" w:customStyle="1" w:styleId="ZkladntextChar">
    <w:name w:val="Základní text Char"/>
    <w:basedOn w:val="Standardnpsmoodstavce"/>
    <w:link w:val="Zkladntext"/>
    <w:rsid w:val="00332D4D"/>
    <w:rPr>
      <w:rFonts w:ascii="Calibri" w:eastAsia="Times New Roman" w:hAnsi="Calibri" w:cs="Times New Roman"/>
      <w:sz w:val="20"/>
      <w:szCs w:val="20"/>
    </w:rPr>
  </w:style>
  <w:style w:type="paragraph" w:styleId="Textpoznpodarou">
    <w:name w:val="footnote text"/>
    <w:aliases w:val="Schriftart: 9 pt,Schriftart: 10 pt,Schriftart: 8 pt,Char,Text pozn. pod čarou1,Char Char Char1,Char Char1,Footnote Text Char1"/>
    <w:basedOn w:val="Normln"/>
    <w:link w:val="TextpoznpodarouChar"/>
    <w:rsid w:val="00332D4D"/>
    <w:rPr>
      <w:sz w:val="16"/>
    </w:rPr>
  </w:style>
  <w:style w:type="character" w:customStyle="1" w:styleId="TextpoznpodarouChar">
    <w:name w:val="Text pozn. pod čarou Char"/>
    <w:aliases w:val="Schriftart: 9 pt Char1,Schriftart: 10 pt Char1,Schriftart: 8 pt Char1,Char Char2,Text pozn. pod čarou1 Char1,Char Char Char1 Char1,Char Char1 Char1,Footnote Text Char1 Char1"/>
    <w:basedOn w:val="Standardnpsmoodstavce"/>
    <w:link w:val="Textpoznpodarou"/>
    <w:rsid w:val="00332D4D"/>
    <w:rPr>
      <w:rFonts w:ascii="Calibri" w:eastAsia="Times New Roman" w:hAnsi="Calibri" w:cs="Times New Roman"/>
      <w:sz w:val="16"/>
      <w:szCs w:val="20"/>
      <w:lang w:eastAsia="cs-CZ"/>
    </w:rPr>
  </w:style>
  <w:style w:type="numbering" w:customStyle="1" w:styleId="StylSodrkami">
    <w:name w:val="Styl S odrážkami"/>
    <w:basedOn w:val="Bezseznamu"/>
    <w:rsid w:val="00332D4D"/>
    <w:pPr>
      <w:numPr>
        <w:numId w:val="2"/>
      </w:numPr>
    </w:pPr>
  </w:style>
  <w:style w:type="paragraph" w:customStyle="1" w:styleId="NadpisAB">
    <w:name w:val="Nadpis AB"/>
    <w:basedOn w:val="Nadpis1"/>
    <w:rsid w:val="00332D4D"/>
    <w:pPr>
      <w:numPr>
        <w:numId w:val="3"/>
      </w:numPr>
      <w:jc w:val="left"/>
    </w:pPr>
  </w:style>
  <w:style w:type="character" w:customStyle="1" w:styleId="TitulekChar">
    <w:name w:val="Titulek Char"/>
    <w:link w:val="Titulek"/>
    <w:rsid w:val="00291253"/>
    <w:rPr>
      <w:rFonts w:ascii="Calibri" w:eastAsia="Times New Roman" w:hAnsi="Calibri" w:cs="Times New Roman"/>
      <w:b/>
      <w:bCs/>
      <w:sz w:val="20"/>
      <w:szCs w:val="20"/>
      <w:lang w:eastAsia="cs-CZ"/>
    </w:rPr>
  </w:style>
  <w:style w:type="paragraph" w:styleId="Revize">
    <w:name w:val="Revision"/>
    <w:hidden/>
    <w:uiPriority w:val="99"/>
    <w:semiHidden/>
    <w:rsid w:val="00332D4D"/>
    <w:pPr>
      <w:spacing w:after="0" w:line="240" w:lineRule="auto"/>
    </w:pPr>
    <w:rPr>
      <w:rFonts w:ascii="Calibri" w:eastAsia="Times New Roman" w:hAnsi="Calibri" w:cs="Times New Roman"/>
      <w:sz w:val="20"/>
      <w:szCs w:val="20"/>
      <w:lang w:eastAsia="cs-CZ"/>
    </w:rPr>
  </w:style>
  <w:style w:type="character" w:customStyle="1" w:styleId="ZdrojpodtabulkounebografemChar">
    <w:name w:val="Zdroj pod tabulkou nebo grafem Char"/>
    <w:link w:val="Zdrojpodtabulkounebografem"/>
    <w:rsid w:val="00332D4D"/>
    <w:rPr>
      <w:rFonts w:ascii="Calibri" w:eastAsia="Times New Roman" w:hAnsi="Calibri" w:cs="Times New Roman"/>
      <w:i/>
      <w:sz w:val="16"/>
      <w:szCs w:val="16"/>
      <w:lang w:eastAsia="cs-CZ"/>
    </w:rPr>
  </w:style>
  <w:style w:type="paragraph" w:customStyle="1" w:styleId="StylZdrojpoznmkapodtabulkougrafemnenKurzva">
    <w:name w:val="Styl Zdroj/poznámka pod tabulkou/grafem + není Kurzíva"/>
    <w:basedOn w:val="Zdrojpoznmkapodtabulkougrafem"/>
    <w:semiHidden/>
    <w:rsid w:val="00332D4D"/>
    <w:rPr>
      <w:i w:val="0"/>
    </w:rPr>
  </w:style>
  <w:style w:type="paragraph" w:customStyle="1" w:styleId="Seznamtabulekaobrzk">
    <w:name w:val="Seznam tabulek a obrázků"/>
    <w:basedOn w:val="Seznamobrzk"/>
    <w:next w:val="Normln"/>
    <w:rsid w:val="00332D4D"/>
    <w:pPr>
      <w:spacing w:line="20" w:lineRule="atLeast"/>
    </w:pPr>
  </w:style>
  <w:style w:type="paragraph" w:customStyle="1" w:styleId="Tunodstavec">
    <w:name w:val="Tučný odstavec"/>
    <w:basedOn w:val="Normln"/>
    <w:link w:val="TunodstavecChar1"/>
    <w:rsid w:val="00332D4D"/>
    <w:pPr>
      <w:spacing w:before="240" w:line="264" w:lineRule="auto"/>
    </w:pPr>
    <w:rPr>
      <w:rFonts w:ascii="Times New Roman" w:hAnsi="Times New Roman"/>
      <w:b/>
      <w:bCs/>
      <w:sz w:val="22"/>
    </w:rPr>
  </w:style>
  <w:style w:type="paragraph" w:customStyle="1" w:styleId="vod">
    <w:name w:val="Úvod"/>
    <w:basedOn w:val="Nadpis1"/>
    <w:next w:val="Normln"/>
    <w:semiHidden/>
    <w:rsid w:val="00332D4D"/>
    <w:pPr>
      <w:numPr>
        <w:numId w:val="0"/>
      </w:numPr>
    </w:pPr>
    <w:rPr>
      <w:rFonts w:cs="Times New Roman"/>
      <w:szCs w:val="20"/>
    </w:rPr>
  </w:style>
  <w:style w:type="character" w:customStyle="1" w:styleId="TunodstavecChar1">
    <w:name w:val="Tučný odstavec Char1"/>
    <w:link w:val="Tunodstavec"/>
    <w:rsid w:val="00332D4D"/>
    <w:rPr>
      <w:rFonts w:ascii="Times New Roman" w:eastAsia="Times New Roman" w:hAnsi="Times New Roman" w:cs="Times New Roman"/>
      <w:b/>
      <w:bCs/>
      <w:szCs w:val="20"/>
      <w:lang w:eastAsia="cs-CZ"/>
    </w:rPr>
  </w:style>
  <w:style w:type="paragraph" w:customStyle="1" w:styleId="Box-text">
    <w:name w:val="Box - text"/>
    <w:basedOn w:val="Normln"/>
    <w:uiPriority w:val="1"/>
    <w:qFormat/>
    <w:rsid w:val="00332D4D"/>
    <w:rPr>
      <w:sz w:val="18"/>
    </w:rPr>
  </w:style>
  <w:style w:type="paragraph" w:customStyle="1" w:styleId="Box-nadpis">
    <w:name w:val="Box - nadpis"/>
    <w:basedOn w:val="Nadpismal"/>
    <w:next w:val="Box-text"/>
    <w:uiPriority w:val="1"/>
    <w:qFormat/>
    <w:rsid w:val="00332D4D"/>
    <w:pPr>
      <w:spacing w:before="120"/>
    </w:pPr>
    <w:rPr>
      <w:bCs/>
      <w:sz w:val="20"/>
      <w:szCs w:val="20"/>
    </w:rPr>
  </w:style>
  <w:style w:type="paragraph" w:styleId="Odstavecseseznamem">
    <w:name w:val="List Paragraph"/>
    <w:basedOn w:val="Normln"/>
    <w:uiPriority w:val="34"/>
    <w:qFormat/>
    <w:rsid w:val="00332D4D"/>
    <w:pPr>
      <w:ind w:left="720"/>
      <w:contextualSpacing/>
    </w:pPr>
    <w:rPr>
      <w:rFonts w:eastAsia="Calibri"/>
    </w:rPr>
  </w:style>
  <w:style w:type="character" w:styleId="Siln">
    <w:name w:val="Strong"/>
    <w:uiPriority w:val="22"/>
    <w:qFormat/>
    <w:rsid w:val="00332D4D"/>
    <w:rPr>
      <w:b/>
      <w:bCs/>
    </w:rPr>
  </w:style>
  <w:style w:type="character" w:customStyle="1" w:styleId="TextpoznpodarouChar1">
    <w:name w:val="Text pozn. pod čarou Char1"/>
    <w:aliases w:val="Schriftart: 9 pt Char,Schriftart: 10 pt Char,Schriftart: 8 pt Char,Text pozn. pod čarou Char Char, Char Char,Char Char,Text pozn. pod čarou1 Char,Char Char Char1 Char,Char Char1 Char,Footnote Text Char1 Char"/>
    <w:semiHidden/>
    <w:rsid w:val="00332D4D"/>
    <w:rPr>
      <w:lang w:val="cs-CZ" w:eastAsia="cs-CZ" w:bidi="ar-SA"/>
    </w:rPr>
  </w:style>
  <w:style w:type="paragraph" w:customStyle="1" w:styleId="Poznmkaazdroj">
    <w:name w:val="Poznámka a zdroj"/>
    <w:basedOn w:val="Normln"/>
    <w:next w:val="Normln"/>
    <w:uiPriority w:val="7"/>
    <w:qFormat/>
    <w:rsid w:val="00332D4D"/>
    <w:pPr>
      <w:spacing w:after="240"/>
      <w:contextualSpacing/>
    </w:pPr>
    <w:rPr>
      <w:rFonts w:eastAsia="Calibri"/>
      <w:i/>
      <w:sz w:val="16"/>
      <w:lang w:eastAsia="en-US"/>
    </w:rPr>
  </w:style>
  <w:style w:type="paragraph" w:customStyle="1" w:styleId="Jednotka">
    <w:name w:val="Jednotka"/>
    <w:basedOn w:val="Normln"/>
    <w:next w:val="Bezmezer"/>
    <w:uiPriority w:val="7"/>
    <w:qFormat/>
    <w:rsid w:val="00332D4D"/>
    <w:pPr>
      <w:keepNext/>
      <w:keepLines/>
      <w:spacing w:after="0"/>
      <w:jc w:val="left"/>
    </w:pPr>
    <w:rPr>
      <w:rFonts w:eastAsia="Calibri"/>
      <w:i/>
      <w:sz w:val="16"/>
      <w:szCs w:val="16"/>
      <w:lang w:eastAsia="en-US"/>
    </w:rPr>
  </w:style>
  <w:style w:type="paragraph" w:styleId="Bezmezer">
    <w:name w:val="No Spacing"/>
    <w:uiPriority w:val="1"/>
    <w:qFormat/>
    <w:rsid w:val="00332D4D"/>
    <w:pPr>
      <w:spacing w:after="0" w:line="240" w:lineRule="auto"/>
      <w:jc w:val="both"/>
    </w:pPr>
    <w:rPr>
      <w:rFonts w:ascii="Calibri" w:eastAsia="Times New Roman" w:hAnsi="Calibri" w:cs="Times New Roman"/>
      <w:sz w:val="20"/>
      <w:szCs w:val="20"/>
      <w:lang w:eastAsia="cs-CZ"/>
    </w:rPr>
  </w:style>
  <w:style w:type="paragraph" w:customStyle="1" w:styleId="Zdrojelit">
    <w:name w:val="Zdroje lit."/>
    <w:basedOn w:val="Normln"/>
    <w:qFormat/>
    <w:rsid w:val="00332D4D"/>
    <w:pPr>
      <w:ind w:left="540" w:hanging="540"/>
    </w:pPr>
  </w:style>
  <w:style w:type="paragraph" w:styleId="Zkladntextodsazen">
    <w:name w:val="Body Text Indent"/>
    <w:basedOn w:val="Normln"/>
    <w:link w:val="ZkladntextodsazenChar"/>
    <w:rsid w:val="00332D4D"/>
    <w:pPr>
      <w:ind w:left="283"/>
    </w:pPr>
  </w:style>
  <w:style w:type="character" w:customStyle="1" w:styleId="ZkladntextodsazenChar">
    <w:name w:val="Základní text odsazený Char"/>
    <w:basedOn w:val="Standardnpsmoodstavce"/>
    <w:link w:val="Zkladntextodsazen"/>
    <w:rsid w:val="00332D4D"/>
    <w:rPr>
      <w:rFonts w:ascii="Calibri" w:eastAsia="Times New Roman" w:hAnsi="Calibri" w:cs="Times New Roman"/>
      <w:sz w:val="20"/>
      <w:szCs w:val="20"/>
      <w:lang w:eastAsia="cs-CZ"/>
    </w:rPr>
  </w:style>
  <w:style w:type="character" w:customStyle="1" w:styleId="st">
    <w:name w:val="st"/>
    <w:rsid w:val="00612BDB"/>
  </w:style>
  <w:style w:type="paragraph" w:styleId="Obsah3">
    <w:name w:val="toc 3"/>
    <w:basedOn w:val="Normln"/>
    <w:next w:val="Normln"/>
    <w:autoRedefine/>
    <w:uiPriority w:val="39"/>
    <w:unhideWhenUsed/>
    <w:rsid w:val="00302B9E"/>
    <w:pPr>
      <w:spacing w:after="100"/>
      <w:ind w:left="400"/>
    </w:pPr>
  </w:style>
  <w:style w:type="paragraph" w:styleId="Rejstk1">
    <w:name w:val="index 1"/>
    <w:basedOn w:val="Normln"/>
    <w:next w:val="Normln"/>
    <w:autoRedefine/>
    <w:uiPriority w:val="99"/>
    <w:semiHidden/>
    <w:unhideWhenUsed/>
    <w:rsid w:val="00BA4BBC"/>
    <w:pPr>
      <w:spacing w:after="0"/>
      <w:ind w:left="200" w:hanging="200"/>
    </w:pPr>
  </w:style>
  <w:style w:type="paragraph" w:customStyle="1" w:styleId="ZKDvousloupcov">
    <w:name w:val="ZK_Dvousloupcový"/>
    <w:basedOn w:val="Normln"/>
    <w:link w:val="ZKDvousloupcovChar"/>
    <w:rsid w:val="00695CCE"/>
    <w:rPr>
      <w:kern w:val="20"/>
      <w:szCs w:val="24"/>
    </w:rPr>
  </w:style>
  <w:style w:type="character" w:customStyle="1" w:styleId="ZKDvousloupcovChar">
    <w:name w:val="ZK_Dvousloupcový Char"/>
    <w:link w:val="ZKDvousloupcov"/>
    <w:rsid w:val="00695CCE"/>
    <w:rPr>
      <w:rFonts w:ascii="Calibri" w:eastAsia="Times New Roman" w:hAnsi="Calibri" w:cs="Times New Roman"/>
      <w:kern w:val="20"/>
      <w:sz w:val="20"/>
      <w:szCs w:val="24"/>
      <w:lang w:eastAsia="cs-CZ"/>
    </w:rPr>
  </w:style>
  <w:style w:type="character" w:styleId="Zdraznn">
    <w:name w:val="Emphasis"/>
    <w:aliases w:val="Zvýraznění"/>
    <w:uiPriority w:val="20"/>
    <w:qFormat/>
    <w:rsid w:val="006B238B"/>
    <w:rPr>
      <w:i/>
      <w:iCs/>
    </w:rPr>
  </w:style>
  <w:style w:type="character" w:styleId="Sledovanodkaz">
    <w:name w:val="FollowedHyperlink"/>
    <w:basedOn w:val="Standardnpsmoodstavce"/>
    <w:uiPriority w:val="99"/>
    <w:semiHidden/>
    <w:unhideWhenUsed/>
    <w:rsid w:val="002B08F4"/>
    <w:rPr>
      <w:color w:val="800080" w:themeColor="followedHyperlink"/>
      <w:u w:val="single"/>
    </w:rPr>
  </w:style>
  <w:style w:type="paragraph" w:customStyle="1" w:styleId="SRNadpisseituprozpat">
    <w:name w:val="SR_Nadpis sešitu_pro zápatí"/>
    <w:basedOn w:val="Normln"/>
    <w:qFormat/>
    <w:rsid w:val="00E8085D"/>
    <w:pPr>
      <w:spacing w:before="3480" w:after="0"/>
      <w:jc w:val="center"/>
    </w:pPr>
    <w:rPr>
      <w:b/>
      <w:spacing w:val="10"/>
      <w:sz w:val="36"/>
      <w:szCs w:val="36"/>
    </w:rPr>
  </w:style>
  <w:style w:type="paragraph" w:customStyle="1" w:styleId="SRNadpis1">
    <w:name w:val="SR_Nadpis 1"/>
    <w:basedOn w:val="Nadpis1"/>
    <w:qFormat/>
    <w:rsid w:val="00E11515"/>
    <w:pPr>
      <w:pageBreakBefore w:val="0"/>
      <w:numPr>
        <w:numId w:val="0"/>
      </w:numPr>
      <w:tabs>
        <w:tab w:val="num" w:pos="709"/>
      </w:tabs>
      <w:suppressAutoHyphens/>
      <w:ind w:left="709" w:hanging="709"/>
    </w:pPr>
  </w:style>
  <w:style w:type="paragraph" w:customStyle="1" w:styleId="SRNadpis2">
    <w:name w:val="SR_Nadpis 2"/>
    <w:basedOn w:val="Nadpis2"/>
    <w:qFormat/>
    <w:rsid w:val="00E11515"/>
    <w:pPr>
      <w:keepLines/>
      <w:numPr>
        <w:ilvl w:val="0"/>
        <w:numId w:val="0"/>
      </w:numPr>
      <w:pBdr>
        <w:bottom w:val="single" w:sz="12" w:space="1" w:color="E5DFEC"/>
      </w:pBdr>
      <w:tabs>
        <w:tab w:val="num" w:pos="851"/>
      </w:tabs>
      <w:spacing w:before="360" w:after="240"/>
      <w:ind w:left="851" w:hanging="851"/>
      <w:jc w:val="left"/>
    </w:pPr>
  </w:style>
  <w:style w:type="paragraph" w:customStyle="1" w:styleId="SRNadpis3">
    <w:name w:val="SR_Nadpis 3"/>
    <w:basedOn w:val="Nadpis3"/>
    <w:qFormat/>
    <w:rsid w:val="00E11515"/>
    <w:pPr>
      <w:numPr>
        <w:ilvl w:val="0"/>
        <w:numId w:val="0"/>
      </w:numPr>
      <w:tabs>
        <w:tab w:val="num" w:pos="851"/>
        <w:tab w:val="num" w:pos="1135"/>
      </w:tabs>
    </w:pPr>
    <w:rPr>
      <w:sz w:val="24"/>
    </w:rPr>
  </w:style>
  <w:style w:type="paragraph" w:customStyle="1" w:styleId="SROdrka">
    <w:name w:val="SR_Odrážka"/>
    <w:basedOn w:val="Normln"/>
    <w:qFormat/>
    <w:rsid w:val="00E11515"/>
    <w:pPr>
      <w:numPr>
        <w:numId w:val="5"/>
      </w:numPr>
      <w:tabs>
        <w:tab w:val="clear" w:pos="170"/>
      </w:tabs>
      <w:ind w:left="284" w:hanging="284"/>
    </w:pPr>
  </w:style>
  <w:style w:type="paragraph" w:customStyle="1" w:styleId="SRNadpis4">
    <w:name w:val="SR_Nadpis 4"/>
    <w:basedOn w:val="Nadpis4"/>
    <w:qFormat/>
    <w:rsid w:val="00B029A2"/>
    <w:pPr>
      <w:tabs>
        <w:tab w:val="clear" w:pos="864"/>
        <w:tab w:val="num" w:pos="851"/>
      </w:tabs>
      <w:spacing w:before="240"/>
    </w:pPr>
  </w:style>
  <w:style w:type="paragraph" w:customStyle="1" w:styleId="SRTextnomal">
    <w:name w:val="SR_Text nomal"/>
    <w:basedOn w:val="Normln"/>
    <w:qFormat/>
    <w:rsid w:val="000333D5"/>
    <w:pPr>
      <w:spacing w:after="60"/>
    </w:pPr>
  </w:style>
  <w:style w:type="paragraph" w:customStyle="1" w:styleId="SRodrkanorma">
    <w:name w:val="SR_odrážka norma"/>
    <w:basedOn w:val="Normln"/>
    <w:qFormat/>
    <w:rsid w:val="00F70B17"/>
    <w:pPr>
      <w:numPr>
        <w:numId w:val="7"/>
      </w:numPr>
      <w:spacing w:after="60"/>
      <w:ind w:left="720"/>
    </w:pPr>
    <w:rPr>
      <w:i/>
    </w:rPr>
  </w:style>
  <w:style w:type="paragraph" w:customStyle="1" w:styleId="SRodrka1">
    <w:name w:val="SR_odrážka 1"/>
    <w:basedOn w:val="SRodrkanorma"/>
    <w:qFormat/>
    <w:rsid w:val="00F70B17"/>
    <w:rPr>
      <w:i w:val="0"/>
      <w:sz w:val="22"/>
    </w:rPr>
  </w:style>
  <w:style w:type="paragraph" w:customStyle="1" w:styleId="SRtitulek1">
    <w:name w:val="SR_titulek 1"/>
    <w:basedOn w:val="Titulek"/>
    <w:qFormat/>
    <w:rsid w:val="00DE26CD"/>
    <w:pPr>
      <w:spacing w:after="120"/>
    </w:p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ln"/>
    <w:link w:val="Znakapoznpodarou"/>
    <w:uiPriority w:val="99"/>
    <w:rsid w:val="000C0CF2"/>
    <w:pPr>
      <w:spacing w:after="160" w:line="240" w:lineRule="exact"/>
    </w:pPr>
    <w:rPr>
      <w:rFonts w:asciiTheme="minorHAnsi" w:eastAsiaTheme="minorHAnsi" w:hAnsiTheme="minorHAnsi" w:cstheme="minorBidi"/>
      <w:sz w:val="22"/>
      <w:szCs w:val="22"/>
      <w:vertAlign w:val="superscript"/>
      <w:lang w:eastAsia="en-US"/>
    </w:rPr>
  </w:style>
  <w:style w:type="paragraph" w:customStyle="1" w:styleId="SROdrka10">
    <w:name w:val="SR_Odrážka 1"/>
    <w:basedOn w:val="Normln"/>
    <w:qFormat/>
    <w:rsid w:val="00D81709"/>
    <w:pPr>
      <w:spacing w:before="120"/>
      <w:ind w:left="284" w:hanging="284"/>
    </w:pPr>
  </w:style>
  <w:style w:type="paragraph" w:customStyle="1" w:styleId="SROdrka2">
    <w:name w:val="SR_Odrážka 2"/>
    <w:qFormat/>
    <w:rsid w:val="00D81709"/>
    <w:pPr>
      <w:tabs>
        <w:tab w:val="num" w:pos="567"/>
      </w:tabs>
      <w:spacing w:after="0" w:line="240" w:lineRule="auto"/>
      <w:ind w:left="567" w:hanging="283"/>
      <w:jc w:val="both"/>
    </w:pPr>
    <w:rPr>
      <w:rFonts w:ascii="Calibri" w:eastAsia="Times New Roman" w:hAnsi="Calibri"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6264">
      <w:bodyDiv w:val="1"/>
      <w:marLeft w:val="0"/>
      <w:marRight w:val="0"/>
      <w:marTop w:val="0"/>
      <w:marBottom w:val="0"/>
      <w:divBdr>
        <w:top w:val="none" w:sz="0" w:space="0" w:color="auto"/>
        <w:left w:val="none" w:sz="0" w:space="0" w:color="auto"/>
        <w:bottom w:val="none" w:sz="0" w:space="0" w:color="auto"/>
        <w:right w:val="none" w:sz="0" w:space="0" w:color="auto"/>
      </w:divBdr>
    </w:div>
    <w:div w:id="593171254">
      <w:bodyDiv w:val="1"/>
      <w:marLeft w:val="0"/>
      <w:marRight w:val="0"/>
      <w:marTop w:val="0"/>
      <w:marBottom w:val="0"/>
      <w:divBdr>
        <w:top w:val="none" w:sz="0" w:space="0" w:color="auto"/>
        <w:left w:val="none" w:sz="0" w:space="0" w:color="auto"/>
        <w:bottom w:val="none" w:sz="0" w:space="0" w:color="auto"/>
        <w:right w:val="none" w:sz="0" w:space="0" w:color="auto"/>
      </w:divBdr>
    </w:div>
    <w:div w:id="659112910">
      <w:bodyDiv w:val="1"/>
      <w:marLeft w:val="0"/>
      <w:marRight w:val="0"/>
      <w:marTop w:val="0"/>
      <w:marBottom w:val="0"/>
      <w:divBdr>
        <w:top w:val="none" w:sz="0" w:space="0" w:color="auto"/>
        <w:left w:val="none" w:sz="0" w:space="0" w:color="auto"/>
        <w:bottom w:val="none" w:sz="0" w:space="0" w:color="auto"/>
        <w:right w:val="none" w:sz="0" w:space="0" w:color="auto"/>
      </w:divBdr>
    </w:div>
    <w:div w:id="753744216">
      <w:bodyDiv w:val="1"/>
      <w:marLeft w:val="0"/>
      <w:marRight w:val="0"/>
      <w:marTop w:val="0"/>
      <w:marBottom w:val="0"/>
      <w:divBdr>
        <w:top w:val="none" w:sz="0" w:space="0" w:color="auto"/>
        <w:left w:val="none" w:sz="0" w:space="0" w:color="auto"/>
        <w:bottom w:val="none" w:sz="0" w:space="0" w:color="auto"/>
        <w:right w:val="none" w:sz="0" w:space="0" w:color="auto"/>
      </w:divBdr>
    </w:div>
    <w:div w:id="1214922920">
      <w:bodyDiv w:val="1"/>
      <w:marLeft w:val="0"/>
      <w:marRight w:val="0"/>
      <w:marTop w:val="0"/>
      <w:marBottom w:val="0"/>
      <w:divBdr>
        <w:top w:val="none" w:sz="0" w:space="0" w:color="auto"/>
        <w:left w:val="none" w:sz="0" w:space="0" w:color="auto"/>
        <w:bottom w:val="none" w:sz="0" w:space="0" w:color="auto"/>
        <w:right w:val="none" w:sz="0" w:space="0" w:color="auto"/>
      </w:divBdr>
    </w:div>
    <w:div w:id="1377317793">
      <w:bodyDiv w:val="1"/>
      <w:marLeft w:val="0"/>
      <w:marRight w:val="0"/>
      <w:marTop w:val="0"/>
      <w:marBottom w:val="0"/>
      <w:divBdr>
        <w:top w:val="none" w:sz="0" w:space="0" w:color="auto"/>
        <w:left w:val="none" w:sz="0" w:space="0" w:color="auto"/>
        <w:bottom w:val="none" w:sz="0" w:space="0" w:color="auto"/>
        <w:right w:val="none" w:sz="0" w:space="0" w:color="auto"/>
      </w:divBdr>
    </w:div>
    <w:div w:id="1426415610">
      <w:bodyDiv w:val="1"/>
      <w:marLeft w:val="0"/>
      <w:marRight w:val="0"/>
      <w:marTop w:val="0"/>
      <w:marBottom w:val="0"/>
      <w:divBdr>
        <w:top w:val="none" w:sz="0" w:space="0" w:color="auto"/>
        <w:left w:val="none" w:sz="0" w:space="0" w:color="auto"/>
        <w:bottom w:val="none" w:sz="0" w:space="0" w:color="auto"/>
        <w:right w:val="none" w:sz="0" w:space="0" w:color="auto"/>
      </w:divBdr>
    </w:div>
    <w:div w:id="1775786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1.emf"/><Relationship Id="rId26" Type="http://schemas.openxmlformats.org/officeDocument/2006/relationships/image" Target="media/image9.png"/><Relationship Id="rId39" Type="http://schemas.openxmlformats.org/officeDocument/2006/relationships/footer" Target="footer9.xml"/><Relationship Id="rId21" Type="http://schemas.openxmlformats.org/officeDocument/2006/relationships/image" Target="media/image4.png"/><Relationship Id="rId34" Type="http://schemas.openxmlformats.org/officeDocument/2006/relationships/footer" Target="footer7.xml"/><Relationship Id="rId42" Type="http://schemas.openxmlformats.org/officeDocument/2006/relationships/image" Target="media/image15.emf"/><Relationship Id="rId47" Type="http://schemas.openxmlformats.org/officeDocument/2006/relationships/image" Target="media/image20.emf"/><Relationship Id="rId50" Type="http://schemas.openxmlformats.org/officeDocument/2006/relationships/image" Target="media/image23.emf"/><Relationship Id="rId55" Type="http://schemas.openxmlformats.org/officeDocument/2006/relationships/image" Target="media/image28.png"/><Relationship Id="rId63" Type="http://schemas.openxmlformats.org/officeDocument/2006/relationships/image" Target="media/image34.emf"/><Relationship Id="rId68" Type="http://schemas.openxmlformats.org/officeDocument/2006/relationships/image" Target="media/image39.emf"/><Relationship Id="rId76"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image" Target="media/image42.emf"/><Relationship Id="rId2" Type="http://schemas.openxmlformats.org/officeDocument/2006/relationships/customXml" Target="../customXml/item2.xml"/><Relationship Id="rId16" Type="http://schemas.openxmlformats.org/officeDocument/2006/relationships/footer" Target="footer3.xml"/><Relationship Id="rId29" Type="http://schemas.openxmlformats.org/officeDocument/2006/relationships/footer" Target="footer5.xml"/><Relationship Id="rId11" Type="http://schemas.openxmlformats.org/officeDocument/2006/relationships/footer" Target="footer1.xml"/><Relationship Id="rId24" Type="http://schemas.openxmlformats.org/officeDocument/2006/relationships/image" Target="media/image7.png"/><Relationship Id="rId32" Type="http://schemas.openxmlformats.org/officeDocument/2006/relationships/footer" Target="footer6.xml"/><Relationship Id="rId37" Type="http://schemas.openxmlformats.org/officeDocument/2006/relationships/image" Target="media/image12.emf"/><Relationship Id="rId40" Type="http://schemas.openxmlformats.org/officeDocument/2006/relationships/image" Target="media/image13.png"/><Relationship Id="rId45" Type="http://schemas.openxmlformats.org/officeDocument/2006/relationships/image" Target="media/image18.emf"/><Relationship Id="rId53" Type="http://schemas.openxmlformats.org/officeDocument/2006/relationships/image" Target="media/image26.png"/><Relationship Id="rId58" Type="http://schemas.openxmlformats.org/officeDocument/2006/relationships/footer" Target="footer11.xml"/><Relationship Id="rId66" Type="http://schemas.openxmlformats.org/officeDocument/2006/relationships/image" Target="media/image37.emf"/><Relationship Id="rId74" Type="http://schemas.openxmlformats.org/officeDocument/2006/relationships/image" Target="media/image45.png"/><Relationship Id="rId79" Type="http://schemas.microsoft.com/office/2016/09/relationships/commentsIds" Target="commentsIds.xml"/><Relationship Id="rId5" Type="http://schemas.openxmlformats.org/officeDocument/2006/relationships/numbering" Target="numbering.xml"/><Relationship Id="rId61" Type="http://schemas.openxmlformats.org/officeDocument/2006/relationships/image" Target="media/image32.emf"/><Relationship Id="rId10" Type="http://schemas.openxmlformats.org/officeDocument/2006/relationships/endnotes" Target="endnotes.xml"/><Relationship Id="rId19" Type="http://schemas.openxmlformats.org/officeDocument/2006/relationships/image" Target="media/image2.png"/><Relationship Id="rId31" Type="http://schemas.openxmlformats.org/officeDocument/2006/relationships/header" Target="header5.xml"/><Relationship Id="rId44" Type="http://schemas.openxmlformats.org/officeDocument/2006/relationships/image" Target="media/image17.emf"/><Relationship Id="rId52" Type="http://schemas.openxmlformats.org/officeDocument/2006/relationships/image" Target="media/image25.emf"/><Relationship Id="rId60" Type="http://schemas.openxmlformats.org/officeDocument/2006/relationships/image" Target="media/image31.emf"/><Relationship Id="rId65" Type="http://schemas.openxmlformats.org/officeDocument/2006/relationships/image" Target="media/image36.emf"/><Relationship Id="rId73" Type="http://schemas.openxmlformats.org/officeDocument/2006/relationships/image" Target="media/image44.emf"/><Relationship Id="Rc212fbbfd8e64b0b"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image" Target="media/image11.emf"/><Relationship Id="rId35" Type="http://schemas.openxmlformats.org/officeDocument/2006/relationships/header" Target="header7.xml"/><Relationship Id="rId43" Type="http://schemas.openxmlformats.org/officeDocument/2006/relationships/image" Target="media/image16.emf"/><Relationship Id="rId48" Type="http://schemas.openxmlformats.org/officeDocument/2006/relationships/image" Target="media/image21.emf"/><Relationship Id="rId56" Type="http://schemas.openxmlformats.org/officeDocument/2006/relationships/image" Target="media/image29.emf"/><Relationship Id="rId64" Type="http://schemas.openxmlformats.org/officeDocument/2006/relationships/image" Target="media/image35.emf"/><Relationship Id="rId69" Type="http://schemas.openxmlformats.org/officeDocument/2006/relationships/image" Target="media/image40.emf"/><Relationship Id="rId77"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image" Target="media/image24.png"/><Relationship Id="rId72" Type="http://schemas.openxmlformats.org/officeDocument/2006/relationships/image" Target="media/image43.emf"/><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image" Target="media/image8.png"/><Relationship Id="rId33" Type="http://schemas.openxmlformats.org/officeDocument/2006/relationships/header" Target="header6.xml"/><Relationship Id="rId38" Type="http://schemas.openxmlformats.org/officeDocument/2006/relationships/header" Target="header8.xml"/><Relationship Id="rId46" Type="http://schemas.openxmlformats.org/officeDocument/2006/relationships/image" Target="media/image19.emf"/><Relationship Id="rId59" Type="http://schemas.openxmlformats.org/officeDocument/2006/relationships/image" Target="media/image30.emf"/><Relationship Id="rId67" Type="http://schemas.openxmlformats.org/officeDocument/2006/relationships/image" Target="media/image38.emf"/><Relationship Id="rId20" Type="http://schemas.openxmlformats.org/officeDocument/2006/relationships/image" Target="media/image3.png"/><Relationship Id="rId41" Type="http://schemas.openxmlformats.org/officeDocument/2006/relationships/image" Target="media/image14.png"/><Relationship Id="rId54" Type="http://schemas.openxmlformats.org/officeDocument/2006/relationships/image" Target="media/image27.emf"/><Relationship Id="rId62" Type="http://schemas.openxmlformats.org/officeDocument/2006/relationships/image" Target="media/image33.emf"/><Relationship Id="rId70" Type="http://schemas.openxmlformats.org/officeDocument/2006/relationships/image" Target="media/image41.emf"/><Relationship Id="rId75" Type="http://schemas.openxmlformats.org/officeDocument/2006/relationships/image" Target="media/image46.e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3.xml"/><Relationship Id="rId23" Type="http://schemas.openxmlformats.org/officeDocument/2006/relationships/image" Target="media/image6.png"/><Relationship Id="rId28" Type="http://schemas.openxmlformats.org/officeDocument/2006/relationships/header" Target="header4.xml"/><Relationship Id="rId36" Type="http://schemas.openxmlformats.org/officeDocument/2006/relationships/footer" Target="footer8.xml"/><Relationship Id="rId49" Type="http://schemas.openxmlformats.org/officeDocument/2006/relationships/image" Target="media/image22.emf"/><Relationship Id="rId57" Type="http://schemas.openxmlformats.org/officeDocument/2006/relationships/footer" Target="footer10.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2291CB806751449BF71C9A343D06534" ma:contentTypeVersion="3" ma:contentTypeDescription="Vytvoří nový dokument" ma:contentTypeScope="" ma:versionID="1898dd9181ee432f02b75a21d38f1a33">
  <xsd:schema xmlns:xsd="http://www.w3.org/2001/XMLSchema" xmlns:xs="http://www.w3.org/2001/XMLSchema" xmlns:p="http://schemas.microsoft.com/office/2006/metadata/properties" xmlns:ns2="4880da96-aad8-4c77-b3d9-aac9dbbb4e17" targetNamespace="http://schemas.microsoft.com/office/2006/metadata/properties" ma:root="true" ma:fieldsID="feae3a64646bc4edb0e2bef2ae0d577b" ns2:_="">
    <xsd:import namespace="4880da96-aad8-4c77-b3d9-aac9dbbb4e17"/>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80da96-aad8-4c77-b3d9-aac9dbbb4e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E6E81-E816-4ED7-B58A-4ED821321B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80da96-aad8-4c77-b3d9-aac9dbbb4e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642F7B-223A-46FB-A039-FF4627A04BBB}">
  <ds:schemaRefs>
    <ds:schemaRef ds:uri="http://purl.org/dc/terms/"/>
    <ds:schemaRef ds:uri="http://schemas.openxmlformats.org/package/2006/metadata/core-properties"/>
    <ds:schemaRef ds:uri="4880da96-aad8-4c77-b3d9-aac9dbbb4e17"/>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9FC0A3FC-D046-4FA4-8D3E-A9E2B24EA8D9}">
  <ds:schemaRefs>
    <ds:schemaRef ds:uri="http://schemas.microsoft.com/sharepoint/v3/contenttype/forms"/>
  </ds:schemaRefs>
</ds:datastoreItem>
</file>

<file path=customXml/itemProps4.xml><?xml version="1.0" encoding="utf-8"?>
<ds:datastoreItem xmlns:ds="http://schemas.openxmlformats.org/officeDocument/2006/customXml" ds:itemID="{1CE19D59-98D8-4D21-96A1-BA5585D3C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44</Pages>
  <Words>18652</Words>
  <Characters>106322</Characters>
  <Application>Microsoft Office Word</Application>
  <DocSecurity>0</DocSecurity>
  <Lines>886</Lines>
  <Paragraphs>249</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124725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2024-08-30T10:45:00Z</dcterms:created>
  <dcterms:modified xsi:type="dcterms:W3CDTF">2024-08-30T10:53:00Z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0x01010002291CB806751449BF71C9A343D06534</vt:lpwstr>
  </property>
</Properties>
</file>